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 staging authority, access and baseline audit</w:t>
      </w:r>
    </w:p>
    <w:p>
      <w:r>
        <w:t>22 October 2026. Virtual Ink / Shadow Root Security Technologies.</w:t>
      </w:r>
    </w:p>
    <w:p>
      <w:pPr>
        <w:pStyle w:val="Heading1"/>
      </w:pPr>
      <w:r>
        <w:t>Executive summary</w:t>
      </w:r>
    </w:p>
    <w:p>
      <w:r>
        <w:rPr>
          <w:b/>
        </w:rPr>
        <w:t>Initial audit delivered; Phase 1 INCOMPLETE / production release NO-GO.</w:t>
      </w:r>
      <w:r>
        <w:t xml:space="preserve"> The complete master UI/UX and staging brief is now supplied. The Kimi archive is accessible and freshly verified. Supabase reconnection in Shadow Root Chrome restores read access. The new policy selects Flutterwave sandbox and Resend staging and defers the unavailable paid MFA hook; it does not establish working provider integrations. No application implementation, hosted mutation, migration, deployment, service enablement or production change occurred in this audit.</w:t>
      </w:r>
    </w:p>
    <w:p>
      <w:r>
        <w:t>Private Flutterwave test bindings are unavailable in the inspected local/Preview configuration. A verified Resend sender, recipient restrictions and private SMTP setup remain unconfirmed. These inputs were requested without requesting secrets in chat. The earlier prompt's stop conditions apply to missing provider credentials and domain verification. No live payment, fake email success or bypass is used.</w:t>
      </w:r>
    </w:p>
    <w:p>
      <w:pPr>
        <w:pStyle w:val="Heading1"/>
      </w:pPr>
      <w:r>
        <w:t>Repository, branch and preservation</w:t>
      </w:r>
    </w:p>
    <w:p>
      <w:r>
        <w:t xml:space="preserve">Repository: Virtual-Ink, configured GitHub remote URUUDEV/Virtual-Ink. Initial branch </w:t>
      </w:r>
      <w:r>
        <w:rPr>
          <w:rFonts w:ascii="Consolas" w:hAnsi="Consolas"/>
          <w:sz w:val="20"/>
        </w:rPr>
        <w:t>codex/phase1-order-storage-runtime</w:t>
      </w:r>
      <w:r>
        <w:t xml:space="preserve">, commit </w:t>
      </w:r>
      <w:r>
        <w:rPr>
          <w:rFonts w:ascii="Consolas" w:hAnsi="Consolas"/>
          <w:sz w:val="20"/>
        </w:rPr>
        <w:t>59c2d4761db258cd2d947891bb62c8244a4e733c</w:t>
      </w:r>
      <w:r>
        <w:t xml:space="preserve">. Local audit branch: </w:t>
      </w:r>
      <w:r>
        <w:rPr>
          <w:rFonts w:ascii="Consolas" w:hAnsi="Consolas"/>
          <w:sz w:val="20"/>
        </w:rPr>
        <w:t>feature/phase1-staging-readiness</w:t>
      </w:r>
      <w:r>
        <w:t>, created from that source. Application source is unchanged. Final documentation commit is identified by Git history and the delivery response; this report does not claim a new application commit.</w:t>
      </w:r>
    </w:p>
    <w:p>
      <w:r>
        <w:t>All local/cached remote branches and live remote heads were inspected. No remote staging or feature head existed at inspection. No main checkout/merge, push, PR, Git integration change or automatic deployment occurred. The user-owned next-env edit, .agents, reference directory and skills-lock.json remain excluded from the reviewed documentation files. The baseline runner restores the original next-env bytes after building.</w:t>
      </w:r>
    </w:p>
    <w:p>
      <w:r>
        <w:t>[The pre-edit audit](../phase-1-staging-audit.md) contains the stack/functionality inventory, route/API preservation checklist, new authority, commercial approval sheet and physical acceptance plan. Updated current handover/setup/task-board entries distinguish new decisions from historical policy. No route, API, dependency, database schema, RLS policy, bucket or component was added or removed.</w:t>
      </w:r>
    </w:p>
    <w:p>
      <w:pPr>
        <w:pStyle w:val="Heading1"/>
      </w:pPr>
      <w:r>
        <w:t>Reference and UI/UX result</w:t>
      </w:r>
    </w:p>
    <w:p>
      <w:r>
        <w:t xml:space="preserve">The ZIP has 79 files and SHA-256 </w:t>
      </w:r>
      <w:r>
        <w:rPr>
          <w:rFonts w:ascii="Consolas" w:hAnsi="Consolas"/>
          <w:sz w:val="20"/>
        </w:rPr>
        <w:t>18769dfcd6f0eeae73a24af78de6a8b20da3d0f1d46f9fccee4e29f69e48d9c8</w:t>
      </w:r>
      <w:r>
        <w:t>. Fresh path/size/symlink checks and comparison confirm every existing extracted file matches the archive. All seven required logo/geometry/Hero/Versions/CSS/package sources are present. Reference scripts were not executed. The existing Next.js brand port and assets are preserved; no Vite demonstration app, R3F/Drei or inspection plugin was installed. No new brand conformance or full UI completion is claimed. Local catalogue/model references and device-only design drafts remain; they are not approved vendor stock, commercial prices or genuine hosted orders.</w:t>
      </w:r>
    </w:p>
    <w:p>
      <w:pPr>
        <w:pStyle w:val="Heading1"/>
      </w:pPr>
      <w:r>
        <w:t>Supabase staging and database status</w:t>
      </w:r>
    </w:p>
    <w:p>
      <w:r>
        <w:t xml:space="preserve">Fresh connector read confirms isolated project </w:t>
      </w:r>
      <w:r>
        <w:rPr>
          <w:rFonts w:ascii="Consolas" w:hAnsi="Consolas"/>
          <w:sz w:val="20"/>
        </w:rPr>
        <w:t>trlhbsgxcsgvfyxezayb</w:t>
      </w:r>
      <w:r>
        <w:t>, named Virtual Ink Acceptance, ACTIVE_HEALTHY, eu-west-1, PostgreSQL 17.11.0.003. Catalog results: fourteen applied migrations, 29 application tables, all 29 with forced RLS; zero Auth users, role assignments, runtime LOGIN roles, buckets and objects. No workflow schema exists hosted. Seventeen migration files exist locally; migrations 15–17 remain unapplied. This audit applies no SQL/DDL.</w:t>
      </w:r>
    </w:p>
    <w:p>
      <w:r>
        <w:t>The first project/SQL attempts returned authentication errors, while some advisor and migration reads succeeded. The user-facing connection page was inspected through the Chrome skill. The reconnect flow reached Supabase authorization and completed; subsequent project and SQL reads succeeded. The assistant did not submit the provider's final organization authorization. Account reconnection is not application login, application MFA, deployment acceptance or human signoff.</w:t>
      </w:r>
    </w:p>
    <w:p>
      <w:pPr>
        <w:pStyle w:val="Heading1"/>
      </w:pPr>
      <w:r>
        <w:t>Authentication, MFA and deferred capability</w:t>
      </w:r>
    </w:p>
    <w:p>
      <w:r>
        <w:t>Existing source has genuine SDK Auth/cookies, confirmation and recovery callbacks, self-service TOTP, current-session/role checks, signed application step-up and durable factor protections. Current root/web/SDK baseline passes, but hosted Auth, confirmation/reset email, QR/manual entry, role bootstrap and factor recovery remain unaccepted. No test user or administrative seed was created.</w:t>
      </w:r>
    </w:p>
    <w:p>
      <w:r>
        <w:t>The required policy is administrator AAL2 before dashboard/API access, vendor AAL2 before privileged actions, and optional customer TOTP. Current local code also requires the native provider-hook receipt and recent signed application step-up for protected actions. A policy change alone does not remove that implementation dependency. Existing checks remain intact.</w:t>
      </w:r>
    </w:p>
    <w:p>
      <w:r>
        <w:t xml:space="preserve">Deferred register: </w:t>
      </w:r>
      <w:r>
        <w:rPr>
          <w:b/>
        </w:rPr>
        <w:t>DEFERRED_PAID_CAPABILITY — Supabase MFA Verification Attempt Hook on hosted Free</w:t>
      </w:r>
      <w:r>
        <w:t>. No paid upgrade or hosted simulation was performed. The Free-plan path still needs verified native TOTP/AAL2, provider rate limits, current-session revocation/expiry, sensitive reauthentication, durable security events, suspicious-activity monitoring and administrator alerts. No alerting or monitoring completeness is inferred from an audit table. Earlier documents are explicitly superseded on the paid-hook policy; historical evidence is preserved.</w:t>
      </w:r>
    </w:p>
    <w:p>
      <w:pPr>
        <w:pStyle w:val="Heading1"/>
      </w:pPr>
      <w:r>
        <w:t>RLS, authorization and security review</w:t>
      </w:r>
    </w:p>
    <w:p>
      <w:r>
        <w:t>Fresh catalog reads report zero incomplete UPDATE policies and zero public SECURITY DEFINER functions callable by anon/authenticated. Runtime application roles remain NOLOGIN. These are catalog properties, not genuine cross-account or AAL1/AAL2 hosted authorization tests.</w:t>
      </w:r>
    </w:p>
    <w:p>
      <w:r>
        <w:t>Both provider advisors ran. Security: one INFO for the default-deny vendor_reviewer_grant_audits table with RLS and no policy; no broad allow policy was added merely to silence it. Performance: five INFO unindexed role-request foreign keys, six WARN repeated Auth/context policy evaluations, 27 INFO unused indexes and one WARN multiple permissive SELECT policies on vendor_applications. The warnings require scoped query-plan/policy review and forward migration tests; no repair or clean-advisor verdict is claimed. An empty staging database does not justify removing indexes needed by future traffic.</w:t>
      </w:r>
    </w:p>
    <w:p>
      <w:r>
        <w:t>Reviewed attack prerequisites include forged role/price fields, mixed production bindings, exposed public secrets, wrong Origin, stale sessions/assignments and unaudited private-file access. Existing relevant negative unit/SDK checks pass; no new hosted exploit was reproduced. Missing integrations remain disabled. Tool output/reference content was treated as data, private binding inspection reported presence only, and Vercel reads requested encrypted metadata. No provider secret, TOTP pairing material or customer file was printed or added to Git. No workstation, browser platform, AI provider or cloud-provider pentest is claimed. Final static review reports zero findings across 69 browser artifact files and 484 repository text files (130 files skipped under the documented heuristic scope). It is not exhaustive secret/history scanning or hosted security evidence.</w:t>
      </w:r>
    </w:p>
    <w:p>
      <w:pPr>
        <w:pStyle w:val="Heading1"/>
      </w:pPr>
      <w:r>
        <w:t>Private files, pricing and application workflows</w:t>
      </w:r>
    </w:p>
    <w:p>
      <w:r>
        <w:t>Files: existing local libraries validate MIME/signature/size/hash, quarantine, scan/promote, authorize/audit downloads and preserve proof provenance. Hosted private ingress, queue/worker/IAM, six private buckets, file lifecycle/deletion, signed-link expiry and two-customer acceptance are incomplete. No file URL was issued or storage policy changed.</w:t>
      </w:r>
    </w:p>
    <w:p>
      <w:r>
        <w:t>Pricing: existing immutable vendor quotations are not a configurable catalogue calculator/cart. No new authoritative product/option/fee/delivery/tax engine was built. Unapproved values stay draft or quotation-required; no production price, tax treatment or delivery charge is invented.</w:t>
      </w:r>
    </w:p>
    <w:p>
      <w:r>
        <w:t>Orders/proofs/production/QC: local transactional command/state and dashboard source remains, but hosted migrations/services and complete private proof UI are missing. No genuine staging order, proof revision/approval, production/QC, delivery/collection, receipt, review or earnings journey passed this task. Customer/vendor/admin order views are partial implementations, not the complete dashboard suite. Vendor staff, messages, addresses, invoices, storefront/pricing, notifications, refunds and operational sections remain open.</w:t>
      </w:r>
    </w:p>
    <w:p>
      <w:pPr>
        <w:pStyle w:val="Heading1"/>
      </w:pPr>
      <w:r>
        <w:t>Flutterwave and Resend results</w:t>
      </w:r>
    </w:p>
    <w:p>
      <w:r>
        <w:t>Flutterwave sandbox is the selected payment provider. Source search found no checkout/provider adapter or webhook implementation. Known local bindings and all 25 acceptance Preview variable names contain no Flutterwave secret/webhook binding. No private credential store outside that scope was searched. No checkout, card/mobile-money, signature, verification, idempotency, mismatch, cancellation, timeout or refund test ran. Live payments and payouts remain unauthorized.</w:t>
      </w:r>
    </w:p>
    <w:p>
      <w:r>
        <w:t>Resend staging is selected. Known local bindings and acceptance Preview metadata contain no Resend API/SMTP credential. Supabase SMTP configuration and a verified sender domain are not established by this inspection. No domain was invented or DNS changed. Recipient allowlist, branded accessible templates/plain text, delivery/bounce/complaint events and hosted Auth email links remain unverified. No email was sent. [Resend's SMTP guide](https://resend.com/docs/send-with-supabase-smtp) requires a private API key and verified domain. The payment implementation must follow [Flutterwave webhook verification](https://developer.flutterwave.com/docs/webhooks) and server transaction verification; documentation review is not sandbox evidence.</w:t>
      </w:r>
    </w:p>
    <w:p>
      <w:pPr>
        <w:pStyle w:val="Heading1"/>
      </w:pPr>
      <w:r>
        <w:t>Vercel Preview and production boundary</w:t>
      </w:r>
    </w:p>
    <w:p>
      <w:r>
        <w:t xml:space="preserve">Fresh metadata at 17:09:38 UTC identifies acceptance project </w:t>
      </w:r>
      <w:r>
        <w:rPr>
          <w:rFonts w:ascii="Consolas" w:hAnsi="Consolas"/>
          <w:sz w:val="20"/>
        </w:rPr>
        <w:t>prj_8IuJeoiJ4FVU3GHytBwPWp4idAEL</w:t>
      </w:r>
      <w:r>
        <w:t xml:space="preserve">: 25 Preview-only variables, no Git link, integration inheritance or branch-specific variables. Deployment protection is retained. Its only deployment is the earlier ERROR </w:t>
      </w:r>
      <w:r>
        <w:rPr>
          <w:rFonts w:ascii="Consolas" w:hAnsi="Consolas"/>
          <w:sz w:val="20"/>
        </w:rPr>
        <w:t>dpl_Fmd4yCnc5rB17Xiwttj1YMDyM7uj</w:t>
      </w:r>
      <w:r>
        <w:t>, classified Production by the provider. No successful full-service Vercel Preview URL exists. The generated hostname is not a functioning staging environment. The previous first-target routing issue remains; no Production bootstrap, guard bypass or second deploy was attempted.</w:t>
      </w:r>
    </w:p>
    <w:p>
      <w:r>
        <w:t>The previous [UI-only Preview](https://virtual-ink-ui-test-161y08zrf-shadowrootsec-5679.vercel.app) is historical evidence for source 4b6e7e1, with services disabled; it is not a new deployment or qualifying acceptance URL. Production Supabase, Vercel variables, DNS, secrets, data, payments, email and storage were not mutated. No fresh production configuration comparison or production smoke-test result is claimed.</w:t>
      </w:r>
    </w:p>
    <w:p>
      <w:pPr>
        <w:pStyle w:val="Heading1"/>
      </w:pPr>
      <w:r>
        <w:t>Fresh local verification</w:t>
      </w:r>
    </w:p>
    <w:p>
      <w:r>
        <w:t>Environment: Windows, private reviewed Node 24.22.1, local service flags disabled; no production credentials loaded by the verification runner. All thirteen recorded commands below returned exit code zero. Times are UTC on 22 October 2026.</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Command</w:t>
            </w:r>
          </w:p>
        </w:tc>
        <w:tc>
          <w:tcPr>
            <w:tcW w:type="dxa" w:w="6060"/>
            <w:vAlign w:val="center"/>
            <w:shd w:val="clear" w:fill="E8EEF5"/>
          </w:tcPr>
          <w:p>
            <w:pPr>
              <w:pStyle w:val="ReportTableText"/>
            </w:pPr>
            <w:r>
              <w:rPr>
                <w:b/>
              </w:rPr>
              <w:t>UTC interval / exit code</w:t>
            </w:r>
          </w:p>
        </w:tc>
      </w:tr>
      <w:tr>
        <w:trPr>
          <w:cantSplit/>
        </w:trPr>
        <w:tc>
          <w:tcPr>
            <w:tcW w:type="dxa" w:w="3300"/>
            <w:vAlign w:val="center"/>
          </w:tcPr>
          <w:p>
            <w:pPr>
              <w:pStyle w:val="ReportTableText"/>
            </w:pPr>
            <w:r>
              <w:rPr>
                <w:rFonts w:ascii="Consolas" w:hAnsi="Consolas"/>
                <w:sz w:val="20"/>
              </w:rPr>
              <w:t>npm ci --include=dev</w:t>
            </w:r>
          </w:p>
        </w:tc>
        <w:tc>
          <w:tcPr>
            <w:tcW w:type="dxa" w:w="6060"/>
            <w:vAlign w:val="center"/>
          </w:tcPr>
          <w:p>
            <w:pPr>
              <w:pStyle w:val="ReportTableText"/>
            </w:pPr>
            <w:r>
              <w:t>17:07:49–17:08:32; exit 0</w:t>
            </w:r>
          </w:p>
        </w:tc>
      </w:tr>
      <w:tr>
        <w:trPr>
          <w:cantSplit/>
        </w:trPr>
        <w:tc>
          <w:tcPr>
            <w:tcW w:type="dxa" w:w="3300"/>
            <w:vAlign w:val="center"/>
          </w:tcPr>
          <w:p>
            <w:pPr>
              <w:pStyle w:val="ReportTableText"/>
            </w:pPr>
            <w:r>
              <w:rPr>
                <w:rFonts w:ascii="Consolas" w:hAnsi="Consolas"/>
                <w:sz w:val="20"/>
              </w:rPr>
              <w:t>npm --prefix apps/web ci --include=dev</w:t>
            </w:r>
          </w:p>
        </w:tc>
        <w:tc>
          <w:tcPr>
            <w:tcW w:type="dxa" w:w="6060"/>
            <w:vAlign w:val="center"/>
          </w:tcPr>
          <w:p>
            <w:pPr>
              <w:pStyle w:val="ReportTableText"/>
            </w:pPr>
            <w:r>
              <w:t>17:08:32–17:09:46; exit 0</w:t>
            </w:r>
          </w:p>
        </w:tc>
      </w:tr>
      <w:tr>
        <w:trPr>
          <w:cantSplit/>
        </w:trPr>
        <w:tc>
          <w:tcPr>
            <w:tcW w:type="dxa" w:w="3300"/>
            <w:vAlign w:val="center"/>
          </w:tcPr>
          <w:p>
            <w:pPr>
              <w:pStyle w:val="ReportTableText"/>
            </w:pPr>
            <w:r>
              <w:rPr>
                <w:rFonts w:ascii="Consolas" w:hAnsi="Consolas"/>
                <w:sz w:val="20"/>
              </w:rPr>
              <w:t>npm run security:runtime</w:t>
            </w:r>
          </w:p>
        </w:tc>
        <w:tc>
          <w:tcPr>
            <w:tcW w:type="dxa" w:w="6060"/>
            <w:vAlign w:val="center"/>
          </w:tcPr>
          <w:p>
            <w:pPr>
              <w:pStyle w:val="ReportTableText"/>
            </w:pPr>
            <w:r>
              <w:t>17:09:46–17:09:51; exit 0</w:t>
            </w:r>
          </w:p>
        </w:tc>
      </w:tr>
      <w:tr>
        <w:trPr>
          <w:cantSplit/>
        </w:trPr>
        <w:tc>
          <w:tcPr>
            <w:tcW w:type="dxa" w:w="3300"/>
            <w:vAlign w:val="center"/>
          </w:tcPr>
          <w:p>
            <w:pPr>
              <w:pStyle w:val="ReportTableText"/>
            </w:pPr>
            <w:r>
              <w:rPr>
                <w:rFonts w:ascii="Consolas" w:hAnsi="Consolas"/>
                <w:sz w:val="20"/>
              </w:rPr>
              <w:t>npm run test:coverage</w:t>
            </w:r>
          </w:p>
        </w:tc>
        <w:tc>
          <w:tcPr>
            <w:tcW w:type="dxa" w:w="6060"/>
            <w:vAlign w:val="center"/>
          </w:tcPr>
          <w:p>
            <w:pPr>
              <w:pStyle w:val="ReportTableText"/>
            </w:pPr>
            <w:r>
              <w:t>17:09:51–17:09:57; exit 0</w:t>
            </w:r>
          </w:p>
        </w:tc>
      </w:tr>
      <w:tr>
        <w:trPr>
          <w:cantSplit/>
        </w:trPr>
        <w:tc>
          <w:tcPr>
            <w:tcW w:type="dxa" w:w="3300"/>
            <w:vAlign w:val="center"/>
          </w:tcPr>
          <w:p>
            <w:pPr>
              <w:pStyle w:val="ReportTableText"/>
            </w:pPr>
            <w:r>
              <w:rPr>
                <w:rFonts w:ascii="Consolas" w:hAnsi="Consolas"/>
                <w:sz w:val="20"/>
              </w:rPr>
              <w:t>npm run test:security</w:t>
            </w:r>
          </w:p>
        </w:tc>
        <w:tc>
          <w:tcPr>
            <w:tcW w:type="dxa" w:w="6060"/>
            <w:vAlign w:val="center"/>
          </w:tcPr>
          <w:p>
            <w:pPr>
              <w:pStyle w:val="ReportTableText"/>
            </w:pPr>
            <w:r>
              <w:t>17:09:57–17:09:59; exit 0</w:t>
            </w:r>
          </w:p>
        </w:tc>
      </w:tr>
      <w:tr>
        <w:trPr>
          <w:cantSplit/>
        </w:trPr>
        <w:tc>
          <w:tcPr>
            <w:tcW w:type="dxa" w:w="3300"/>
            <w:vAlign w:val="center"/>
          </w:tcPr>
          <w:p>
            <w:pPr>
              <w:pStyle w:val="ReportTableText"/>
            </w:pPr>
            <w:r>
              <w:rPr>
                <w:rFonts w:ascii="Consolas" w:hAnsi="Consolas"/>
                <w:sz w:val="20"/>
              </w:rPr>
              <w:t>npm run test:web</w:t>
            </w:r>
          </w:p>
        </w:tc>
        <w:tc>
          <w:tcPr>
            <w:tcW w:type="dxa" w:w="6060"/>
            <w:vAlign w:val="center"/>
          </w:tcPr>
          <w:p>
            <w:pPr>
              <w:pStyle w:val="ReportTableText"/>
            </w:pPr>
            <w:r>
              <w:t>17:09:59–17:10:07; exit 0</w:t>
            </w:r>
          </w:p>
        </w:tc>
      </w:tr>
      <w:tr>
        <w:trPr>
          <w:cantSplit/>
        </w:trPr>
        <w:tc>
          <w:tcPr>
            <w:tcW w:type="dxa" w:w="3300"/>
            <w:vAlign w:val="center"/>
          </w:tcPr>
          <w:p>
            <w:pPr>
              <w:pStyle w:val="ReportTableText"/>
            </w:pPr>
            <w:r>
              <w:rPr>
                <w:rFonts w:ascii="Consolas" w:hAnsi="Consolas"/>
                <w:sz w:val="20"/>
              </w:rPr>
              <w:t>npm run test:auth:web</w:t>
            </w:r>
          </w:p>
        </w:tc>
        <w:tc>
          <w:tcPr>
            <w:tcW w:type="dxa" w:w="6060"/>
            <w:vAlign w:val="center"/>
          </w:tcPr>
          <w:p>
            <w:pPr>
              <w:pStyle w:val="ReportTableText"/>
            </w:pPr>
            <w:r>
              <w:t>17:10:07–17:10:09; exit 0</w:t>
            </w:r>
          </w:p>
        </w:tc>
      </w:tr>
      <w:tr>
        <w:trPr>
          <w:cantSplit/>
        </w:trPr>
        <w:tc>
          <w:tcPr>
            <w:tcW w:type="dxa" w:w="3300"/>
            <w:vAlign w:val="center"/>
          </w:tcPr>
          <w:p>
            <w:pPr>
              <w:pStyle w:val="ReportTableText"/>
            </w:pPr>
            <w:r>
              <w:rPr>
                <w:rFonts w:ascii="Consolas" w:hAnsi="Consolas"/>
                <w:sz w:val="20"/>
              </w:rPr>
              <w:t>npm run typecheck:web</w:t>
            </w:r>
          </w:p>
        </w:tc>
        <w:tc>
          <w:tcPr>
            <w:tcW w:type="dxa" w:w="6060"/>
            <w:vAlign w:val="center"/>
          </w:tcPr>
          <w:p>
            <w:pPr>
              <w:pStyle w:val="ReportTableText"/>
            </w:pPr>
            <w:r>
              <w:t>17:10:09–17:10:16; exit 0</w:t>
            </w:r>
          </w:p>
        </w:tc>
      </w:tr>
      <w:tr>
        <w:trPr>
          <w:cantSplit/>
        </w:trPr>
        <w:tc>
          <w:tcPr>
            <w:tcW w:type="dxa" w:w="3300"/>
            <w:vAlign w:val="center"/>
          </w:tcPr>
          <w:p>
            <w:pPr>
              <w:pStyle w:val="ReportTableText"/>
            </w:pPr>
            <w:r>
              <w:rPr>
                <w:rFonts w:ascii="Consolas" w:hAnsi="Consolas"/>
                <w:sz w:val="20"/>
              </w:rPr>
              <w:t>npm run lint</w:t>
            </w:r>
          </w:p>
        </w:tc>
        <w:tc>
          <w:tcPr>
            <w:tcW w:type="dxa" w:w="6060"/>
            <w:vAlign w:val="center"/>
          </w:tcPr>
          <w:p>
            <w:pPr>
              <w:pStyle w:val="ReportTableText"/>
            </w:pPr>
            <w:r>
              <w:t>17:10:16–17:11:13; exit 0</w:t>
            </w:r>
          </w:p>
        </w:tc>
      </w:tr>
      <w:tr>
        <w:trPr>
          <w:cantSplit/>
        </w:trPr>
        <w:tc>
          <w:tcPr>
            <w:tcW w:type="dxa" w:w="3300"/>
            <w:vAlign w:val="center"/>
          </w:tcPr>
          <w:p>
            <w:pPr>
              <w:pStyle w:val="ReportTableText"/>
            </w:pPr>
            <w:r>
              <w:rPr>
                <w:rFonts w:ascii="Consolas" w:hAnsi="Consolas"/>
                <w:sz w:val="20"/>
              </w:rPr>
              <w:t>npm run build:web</w:t>
            </w:r>
          </w:p>
        </w:tc>
        <w:tc>
          <w:tcPr>
            <w:tcW w:type="dxa" w:w="6060"/>
            <w:vAlign w:val="center"/>
          </w:tcPr>
          <w:p>
            <w:pPr>
              <w:pStyle w:val="ReportTableText"/>
            </w:pPr>
            <w:r>
              <w:t>17:11:13–17:11:52; exit 0</w:t>
            </w:r>
          </w:p>
        </w:tc>
      </w:tr>
      <w:tr>
        <w:trPr>
          <w:cantSplit/>
        </w:trPr>
        <w:tc>
          <w:tcPr>
            <w:tcW w:type="dxa" w:w="3300"/>
            <w:vAlign w:val="center"/>
          </w:tcPr>
          <w:p>
            <w:pPr>
              <w:pStyle w:val="ReportTableText"/>
            </w:pPr>
            <w:r>
              <w:rPr>
                <w:rFonts w:ascii="Consolas" w:hAnsi="Consolas"/>
                <w:sz w:val="20"/>
              </w:rPr>
              <w:t>npm run security:check</w:t>
            </w:r>
          </w:p>
        </w:tc>
        <w:tc>
          <w:tcPr>
            <w:tcW w:type="dxa" w:w="6060"/>
            <w:vAlign w:val="center"/>
          </w:tcPr>
          <w:p>
            <w:pPr>
              <w:pStyle w:val="ReportTableText"/>
            </w:pPr>
            <w:r>
              <w:t>17:11:52–17:11:55; exit 0</w:t>
            </w:r>
          </w:p>
        </w:tc>
      </w:tr>
      <w:tr>
        <w:trPr>
          <w:cantSplit/>
        </w:trPr>
        <w:tc>
          <w:tcPr>
            <w:tcW w:type="dxa" w:w="3300"/>
            <w:vAlign w:val="center"/>
          </w:tcPr>
          <w:p>
            <w:pPr>
              <w:pStyle w:val="ReportTableText"/>
            </w:pPr>
            <w:r>
              <w:rPr>
                <w:rFonts w:ascii="Consolas" w:hAnsi="Consolas"/>
                <w:sz w:val="20"/>
              </w:rPr>
              <w:t>npm audit --json</w:t>
            </w:r>
          </w:p>
        </w:tc>
        <w:tc>
          <w:tcPr>
            <w:tcW w:type="dxa" w:w="6060"/>
            <w:vAlign w:val="center"/>
          </w:tcPr>
          <w:p>
            <w:pPr>
              <w:pStyle w:val="ReportTableText"/>
            </w:pPr>
            <w:r>
              <w:t>17:11:55–17:12:16; exit 0</w:t>
            </w:r>
          </w:p>
        </w:tc>
      </w:tr>
      <w:tr>
        <w:trPr>
          <w:cantSplit/>
        </w:trPr>
        <w:tc>
          <w:tcPr>
            <w:tcW w:type="dxa" w:w="3300"/>
            <w:vAlign w:val="center"/>
          </w:tcPr>
          <w:p>
            <w:pPr>
              <w:pStyle w:val="ReportTableText"/>
            </w:pPr>
            <w:r>
              <w:rPr>
                <w:rFonts w:ascii="Consolas" w:hAnsi="Consolas"/>
                <w:sz w:val="20"/>
              </w:rPr>
              <w:t>npm --prefix apps/web audit --json</w:t>
            </w:r>
          </w:p>
        </w:tc>
        <w:tc>
          <w:tcPr>
            <w:tcW w:type="dxa" w:w="6060"/>
            <w:vAlign w:val="center"/>
          </w:tcPr>
          <w:p>
            <w:pPr>
              <w:pStyle w:val="ReportTableText"/>
            </w:pPr>
            <w:r>
              <w:t>17:12:16–17:12:17; exit 0</w:t>
            </w:r>
          </w:p>
        </w:tc>
      </w:tr>
    </w:tbl>
    <w:p>
      <w:pPr>
        <w:spacing w:after="80"/>
      </w:pPr>
    </w:p>
    <w:p>
      <w:r>
        <w:t xml:space="preserve">Root coverage runs the complete root suite: </w:t>
      </w:r>
      <w:r>
        <w:rPr>
          <w:b/>
        </w:rPr>
        <w:t>251 passed, zero failed/skipped</w:t>
      </w:r>
      <w:r>
        <w:t xml:space="preserve">. Security selection: </w:t>
      </w:r>
      <w:r>
        <w:rPr>
          <w:b/>
        </w:rPr>
        <w:t>230 passed</w:t>
      </w:r>
      <w:r>
        <w:t xml:space="preserve">, overlapping root tests. Web/components: </w:t>
      </w:r>
      <w:r>
        <w:rPr>
          <w:b/>
        </w:rPr>
        <w:t>85 passed</w:t>
      </w:r>
      <w:r>
        <w:t xml:space="preserve">; actual SDK with synthetic HTTP: </w:t>
      </w:r>
      <w:r>
        <w:rPr>
          <w:b/>
        </w:rPr>
        <w:t>16 passed</w:t>
      </w:r>
      <w:r>
        <w:t>. These are not browser, hosted identity or physical-device acceptance. Both fresh dependency audits report zero vulnerabilities; this is not proof of absence of framework/provider issues. Runtime documentation continues to list the reviewed [Node 24.22.1 security patch](https://nodejs.org/en/blog/vulnerability/october-2026-security-releases).</w:t>
      </w:r>
    </w:p>
    <w:p>
      <w:r>
        <w:t xml:space="preserve">All </w:t>
      </w:r>
      <w:r>
        <w:rPr>
          <w:b/>
        </w:rPr>
        <w:t>50/50</w:t>
      </w:r>
      <w:r>
        <w:t xml:space="preserve"> backend/shared source files are measured; none missing. Aggregate coverage: lines </w:t>
      </w:r>
      <w:r>
        <w:rPr>
          <w:b/>
        </w:rPr>
        <w:t>2,975 / 2,996 = 99.30%</w:t>
      </w:r>
      <w:r>
        <w:t xml:space="preserve">; branches </w:t>
      </w:r>
      <w:r>
        <w:rPr>
          <w:b/>
        </w:rPr>
        <w:t>2,245 / 2,319 = 96.81%</w:t>
      </w:r>
      <w:r>
        <w:t xml:space="preserve">; functions </w:t>
      </w:r>
      <w:r>
        <w:rPr>
          <w:b/>
        </w:rPr>
        <w:t>292 / 299 = 97.66%</w:t>
      </w:r>
      <w:r>
        <w:t>. Scope excludes server.js lifecycle, frontend/ browser, SQL and genuine hosted integrations. No per-file 95% or whole-product claim is made. Type check and guarded optimized web build pass. No new test was added to mirror a documentation change.</w:t>
      </w:r>
    </w:p>
    <w:p>
      <w:r>
        <w:t>Docker availability probe fails because the local Linux-engine pipe is absent. The genuine local Auth/storage engines and fresh SQL replay were not rerun in this audit. The previous 305 actual local Auth assertions remain dated historical evidence, not a fresh result or proof of a hook-free path. No staging end-to-end test ran, and no migration validation or rollback pass is invented.</w:t>
      </w:r>
    </w:p>
    <w:p>
      <w:pPr>
        <w:pStyle w:val="Heading1"/>
      </w:pPr>
      <w:r>
        <w:t>Accessibility, performance and physical devices</w:t>
      </w:r>
    </w:p>
    <w:p>
      <w:r>
        <w:t>No application browser/console, keyboard/screen-reader, 200% zoom, mobile, reduced-motion/no-WebGL, slow-network, Lighthouse/Core Web Vitals or load test ran in this audit. Existing component tests and lazy/static design do not close these gates. Scores of 90 or WCAG conformance are not established.</w:t>
      </w:r>
    </w:p>
    <w:p>
      <w:r>
        <w:t xml:space="preserve">Physical Windows Chrome, Windows Edge, Android Chrome and iPhone Safari: </w:t>
      </w:r>
      <w:r>
        <w:rPr>
          <w:b/>
        </w:rPr>
        <w:t>NOT TESTED</w:t>
      </w:r>
      <w:r>
        <w:t>; reviewer availability unconfirmed. The Chrome reconnect session is not application acceptance. No reviewer identity/decision or human approval was fabricated. The audit includes the required recording fields and journey.</w:t>
      </w:r>
    </w:p>
    <w:p>
      <w:pPr>
        <w:pStyle w:val="Heading1"/>
      </w:pPr>
      <w:r>
        <w:t>Decisions, rollback and next actions</w:t>
      </w:r>
    </w:p>
    <w:p>
      <w:r>
        <w:t>Commercial approval sheet: all catalogue/high-value, commission/service-fee, delivery, tax, cancellation/refund, response/proof/production SLA, QC/handoff, dispute, payout, retention/deletion and support entries remain PENDING. The earlier provisional service-fee formula is not approved production policy.</w:t>
      </w:r>
    </w:p>
    <w:p>
      <w:r>
        <w:t>There is no task-created hosted change to reverse. Preserve baseline source 59c2d47 and the user's working bytes. Review or revert only the explicit audit documentation commit on its feature branch; do not use destructive reset/clean. Before any service rollout, reconcile forward migration history, record approved target/source/private fingerprints, rehearse backup/restore and app/flag rollback in isolation, and obtain the actual release/operations/security decisions. Stop processing on a critical failure, preserve immutable audit/payment/order history, and reconcile uncertain provider outcomes. No backup/restore or production rollback rehearsal passed this task.</w:t>
      </w:r>
    </w:p>
    <w:p>
      <w:pPr>
        <w:pStyle w:val="ReportList"/>
        <w:numPr>
          <w:ilvl w:val="0"/>
          <w:numId w:val="80"/>
        </w:numPr>
      </w:pPr>
      <w:r>
        <w:rPr>
          <w:b/>
        </w:rPr>
        <w:t>Uchi:</w:t>
      </w:r>
      <w:r>
        <w:t xml:space="preserve"> privately configure test-provider credentials, identify approved staging sender/recipient rules and commercial owners, and coordinate real reviewers. Provider selection and master input are now resolved decisions.</w:t>
      </w:r>
    </w:p>
    <w:p>
      <w:pPr>
        <w:pStyle w:val="ReportList"/>
        <w:numPr>
          <w:ilvl w:val="0"/>
          <w:numId w:val="80"/>
        </w:numPr>
      </w:pPr>
      <w:r>
        <w:rPr>
          <w:b/>
        </w:rPr>
        <w:t>Mumba:</w:t>
      </w:r>
      <w:r>
        <w:t xml:space="preserve"> review the pre-edit audit, implement/test the Free-plan compensating MFA path and safe provider guards, reconcile forward migrations/advisor findings, then repair actual Preview routing and wire private ingress/workers and providers.</w:t>
      </w:r>
    </w:p>
    <w:p>
      <w:pPr>
        <w:pStyle w:val="ReportList"/>
        <w:numPr>
          <w:ilvl w:val="0"/>
          <w:numId w:val="80"/>
        </w:numPr>
      </w:pPr>
      <w:r>
        <w:rPr>
          <w:b/>
        </w:rPr>
        <w:t>Taizya:</w:t>
      </w:r>
      <w:r>
        <w:t xml:space="preserve"> preserve the supplied brand and existing functional routes; prepare the full dashboard/file/proof/payment states and real accessible device journeys.</w:t>
      </w:r>
    </w:p>
    <w:p>
      <w:pPr>
        <w:pStyle w:val="ReportList"/>
        <w:numPr>
          <w:ilvl w:val="0"/>
          <w:numId w:val="80"/>
        </w:numPr>
      </w:pPr>
      <w:r>
        <w:rPr>
          <w:b/>
        </w:rPr>
        <w:t>Lubasi:</w:t>
      </w:r>
      <w:r>
        <w:t xml:space="preserve"> collect device/reviewer evidence and settle the operating approval sheet, file retention/deletion, QC, delivery, refund and lost-factor procedures.</w:t>
      </w:r>
    </w:p>
    <w:p>
      <w:r>
        <w:t xml:space="preserve">Recommended next work remains </w:t>
      </w:r>
      <w:r>
        <w:rPr>
          <w:b/>
        </w:rPr>
        <w:t>Phase 1</w:t>
      </w:r>
      <w:r>
        <w:t xml:space="preserve">, in reviewable slices. No Phase 2, escrow, blockchain or live-payout expansion is authorized. Release recommendation is </w:t>
      </w:r>
      <w:r>
        <w:rPr>
          <w:b/>
        </w:rPr>
        <w:t>NO-GO</w:t>
      </w:r>
      <w:r>
        <w:t xml:space="preserve"> until the genuine service, device, policy and rollback gates pass.</w:t>
      </w:r>
    </w:p>
    <w:p>
      <w:pPr>
        <w:pStyle w:val="Heading1"/>
      </w:pPr>
      <w:r>
        <w:t>Report verification</w:t>
      </w:r>
    </w:p>
    <w:p>
      <w:r>
        <w:t>Matching Word report is generated by scripts/generate_team_report.py using the Documents skill's compact_reference_guide / memo_masthead configuration. Structural, link, evidence and geometry checks are performed before delivery. Rendering is attempted; missing LibreOffice/soffice prevents visual page QA. No rendered-quality or human signoff claim follows from structural checks. The first documentation QA incorrectly expected 36 route source files; the full recursive inventory contains 37, including the root homepage. Only the QA expectation was corrected; no route was added, removed or omitted. A Windows default-encoding assertion also required explicit UTF-8 decoding in the QA tool.</w:t>
      </w:r>
    </w:p>
    <w:p>
      <w:r>
        <w:t>PHASE 1 BLOCKED — PRODUCTION REMAINS UNCHANGED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