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Shareable progress preview and local smoke checks</w:t>
      </w:r>
    </w:p>
    <w:p>
      <w:r>
        <w:t>23 October 2026. Virtual Ink / Shadow Root Security Technologies.</w:t>
      </w:r>
    </w:p>
    <w:p>
      <w:r>
        <w:rPr>
          <w:b/>
        </w:rPr>
        <w:t>Development preview prepared; external delivery pending recipient. Phase 1 remains INCOMPLETE / NO-GO.</w:t>
      </w:r>
      <w:r>
        <w:t xml:space="preserve"> Production is unchanged. No domain purchase is required to share this PDF or use ordinary email.</w:t>
      </w:r>
    </w:p>
    <w:p>
      <w:pPr>
        <w:pStyle w:val="Heading1"/>
      </w:pPr>
      <w:r>
        <w:t>Outcome and artifact</w:t>
      </w:r>
    </w:p>
    <w:p>
      <w:r>
        <w:t>Created output/pdf/Virtual-Ink-Family-Preview-2026-10-23.pdf, two pages, using actual screenshots of the local application. The document explains the product, shows the supplied brand, catalogue and 3D text design, and separates these from the unfinished hosted email/payment/private-file/order services. Demonstration prices and draft supplier models are explicitly labelled. No funding amount, purchase budget, paid-plan requirement, launch readiness or human approval is invented.</w:t>
      </w:r>
    </w:p>
    <w:p>
      <w:r>
        <w:t xml:space="preserve">A Gmail draft is created with the PDF attached and a short progress/support message. It has no recipient and has </w:t>
      </w:r>
      <w:r>
        <w:rPr>
          <w:b/>
        </w:rPr>
        <w:t>not been sent</w:t>
      </w:r>
      <w:r>
        <w:t>. Narrow contact searches returned no matching saved recipient, so the user was asked for the address. Recipient details and the draft identifier are kept out of this report and Git. No Resend send or domain operation occurred. The user confirms there is no owned domain yet; domain acquisition is deferred while the progress preview is shared.</w:t>
      </w:r>
    </w:p>
    <w:p>
      <w:pPr>
        <w:pStyle w:val="Heading1"/>
      </w:pPr>
      <w:r>
        <w:t>Actual verification</w:t>
      </w:r>
    </w:p>
    <w:p>
      <w:r>
        <w:t>The prior protected UI-only Vercel URL was attempted in Chrome. Navigation timed out and the browser displayed proxy/firewall diagnostic controls. This is failed browser connectivity evidence, not a claim that the deployment or Vercel itself is down. No bypass token or protection change was used. No new deployment exists.</w:t>
      </w:r>
    </w:p>
    <w:p>
      <w:r>
        <w:t>Started the existing optimized Next.js build at http://127.0.0.1:3120 with Auth, database access, security administration, workflow, storage and email disabled. The task-owned server remains available for the user locally. This loopback URL cannot be used by an external recipient; the PDF is the portable deliverable.</w:t>
      </w:r>
    </w:p>
    <w:p>
      <w:r>
        <w:t>Fresh browser checks confirm:</w:t>
      </w:r>
    </w:p>
    <w:p>
      <w:pPr>
        <w:pStyle w:val="ReportList"/>
        <w:numPr>
          <w:ilvl w:val="0"/>
          <w:numId w:val="80"/>
        </w:numPr>
      </w:pPr>
      <w:r>
        <w:t>Homepage rendering and the skippable animation's static-logo state.</w:t>
      </w:r>
    </w:p>
    <w:p>
      <w:pPr>
        <w:pStyle w:val="ReportList"/>
        <w:numPr>
          <w:ilvl w:val="0"/>
          <w:numId w:val="80"/>
        </w:numPr>
      </w:pPr>
      <w:r>
        <w:t>Six catalogue concepts; a nonmatching search shows an honest empty result and Clear filters restores all six. This does not establish a real vendor catalogue.</w:t>
      </w:r>
    </w:p>
    <w:p>
      <w:pPr>
        <w:pStyle w:val="ReportList"/>
        <w:numPr>
          <w:ilvl w:val="0"/>
          <w:numId w:val="80"/>
        </w:numPr>
      </w:pPr>
      <w:r>
        <w:t>A rendered 3D garment and actual text-layer creation/editing with synthetic VIRTUAL INK content, plus Undo to YOUR IDEA and Redo to VIRTUAL INK.</w:t>
      </w:r>
    </w:p>
    <w:p>
      <w:pPr>
        <w:pStyle w:val="ReportList"/>
        <w:numPr>
          <w:ilvl w:val="0"/>
          <w:numId w:val="80"/>
        </w:numPr>
      </w:pPr>
      <w:r>
        <w:t>The same text remains visible after switching to flat layout and back to 3D.</w:t>
      </w:r>
    </w:p>
    <w:p>
      <w:pPr>
        <w:pStyle w:val="ReportList"/>
        <w:numPr>
          <w:ilvl w:val="0"/>
          <w:numId w:val="80"/>
        </w:numPr>
      </w:pPr>
      <w:r>
        <w:t>The sampled studio browser error log is empty; this is not a comprehensive console, device, performance or accessibility audit.</w:t>
      </w:r>
    </w:p>
    <w:p>
      <w:r>
        <w:t>The first studio attempt was interrupted by navigation to login/registration; the cause and actor are unestablished. It is not attributed to the user, provider or an application flaw. A separate studio tab passes the narrow interactions above. Scroll/capture control timeouts also occurred; source was not changed based on those automation failures. Existing stable-session acceptance remains open.</w:t>
      </w:r>
    </w:p>
    <w:p>
      <w:r>
        <w:t xml:space="preserve">Command: WEB_CHECK_URL=http://127.0.0.1:3120 with reviewed Node 24.22.1 running scripts/web-auth-http-checks.mjs. Exit 0: </w:t>
      </w:r>
      <w:r>
        <w:rPr>
          <w:b/>
        </w:rPr>
        <w:t>44 assertions across 11 requests</w:t>
      </w:r>
      <w:r>
        <w:t>, Auth-disabled local scope. Guest/tampered-cookie access stays denied, Auth actions stay unavailable and no genuine hosted Auth is claimed. These are overlapping assertions, not 44 complete user journeys.</w:t>
      </w:r>
    </w:p>
    <w:p>
      <w:r>
        <w:t>PDF generation uses the managed Python/ReportLab runtime. The first PDF text check needed whitespace normalization across a wrapped line; the subsequent two-page text/structure check passes. Both pages were rendered with pypdfium2 and visually inspected: no clipped report text, overlap or missing glyphs was observed. Screenshot crops are the actual browser viewport, not fabricated UI. Git initially used a global PDF text-diff setting, which reported meaningless whitespace findings in the PDF. A PDF binary attribute, matching the existing Word binary convention, preserves artifact bytes and disables that text diff. The PDF content is not rewritten to remove whitespace.</w:t>
      </w:r>
    </w:p>
    <w:p>
      <w:r>
        <w:t>The Gmail create-draft tool returned success and a draft ID. No send tool was called. No new application dependency/source/schema or production resource was changed, so the complete application test/build suites were not repeated. Earlier 251-test/coverage results remain historical. Report Word structure is checked; visual Word rendering remains unavailable without LibreOffice/soffice, separately from the PDF's completed visual QA.</w:t>
      </w:r>
    </w:p>
    <w:p>
      <w:pPr>
        <w:pStyle w:val="Heading1"/>
      </w:pPr>
      <w:r>
        <w:t>Security and limitations</w:t>
      </w:r>
    </w:p>
    <w:p>
      <w:r>
        <w:t>Only public UI and synthetic design text are captured. There are no customer files, secrets, account details or raw storage paths in the attachment. The application's visual-preview notices remain visible. No server-side upload, payment, external notification, vendor proof or full fulfilment acceptance is inferred. The local draft was not saved to device storage. No public link, credential, Vercel permission or DNS record was created.</w:t>
      </w:r>
    </w:p>
    <w:p>
      <w:r>
        <w:t>The Gmail draft contains an ordinary personal progress/support message explicitly requested by the user. No contact-list import, marketing broadcast or unsolicited recipient selection occurs. Actual delivery requires the intended recipient's address; no guessed email is used. Normal Gmail delivery does not verify Resend SMTP, staging email events or Supabase confirmation/password-reset links.</w:t>
      </w:r>
    </w:p>
    <w:p>
      <w:r>
        <w:t>This is a scoped application/browser/artifact review, not a workstation, provider or platform pentest. Physical-device human acceptance, broad accessibility, load/performance, operating approvals and release rollback remain open.</w:t>
      </w:r>
    </w:p>
    <w:p>
      <w:pPr>
        <w:pStyle w:val="Heading1"/>
      </w:pPr>
      <w:r>
        <w:t>Source, rollback and team actions</w:t>
      </w:r>
    </w:p>
    <w:p>
      <w:r>
        <w:t>Source branch: feature/phase1-staging-readiness, initial commit 7edc054. Application bytes are unchanged. The report commit is recorded in Git history; no push or promotion occurs. Unrelated user work remains preserved and unstaged.</w:t>
      </w:r>
    </w:p>
    <w:p>
      <w:r>
        <w:t>The local server may be stopped using the ownership-checked existing private stop-workflow-http helper. Do not stop unrelated processes. The new unsent draft can be discarded by the user if no longer wanted; no email/domain/provider change needs rollback. The synthetic open studio design is not a persisted order.</w:t>
      </w:r>
    </w:p>
    <w:p>
      <w:pPr>
        <w:pStyle w:val="ReportList"/>
        <w:numPr>
          <w:ilvl w:val="0"/>
          <w:numId w:val="80"/>
        </w:numPr>
      </w:pPr>
      <w:r>
        <w:rPr>
          <w:b/>
        </w:rPr>
        <w:t>Uchi:</w:t>
      </w:r>
      <w:r>
        <w:t xml:space="preserve"> review/share the portable preview and provide the recipient address privately for actual sending. Set a purchase budget before ordering services.</w:t>
      </w:r>
    </w:p>
    <w:p>
      <w:pPr>
        <w:pStyle w:val="ReportList"/>
        <w:numPr>
          <w:ilvl w:val="0"/>
          <w:numId w:val="80"/>
        </w:numPr>
      </w:pPr>
      <w:r>
        <w:rPr>
          <w:b/>
        </w:rPr>
        <w:t>Mumba:</w:t>
      </w:r>
      <w:r>
        <w:t xml:space="preserve"> continue the genuine staging integrations and Free-plan MFA compensating controls; do not confuse a UI demonstration with service acceptance.</w:t>
      </w:r>
    </w:p>
    <w:p>
      <w:pPr>
        <w:pStyle w:val="ReportList"/>
        <w:numPr>
          <w:ilvl w:val="0"/>
          <w:numId w:val="80"/>
        </w:numPr>
      </w:pPr>
      <w:r>
        <w:rPr>
          <w:b/>
        </w:rPr>
        <w:t>Taizya:</w:t>
      </w:r>
      <w:r>
        <w:t xml:space="preserve"> review the demonstrated catalogue/studio interactions and collect uninterrupted accessible browser/device evidence against the master brief.</w:t>
      </w:r>
    </w:p>
    <w:p>
      <w:pPr>
        <w:pStyle w:val="ReportList"/>
        <w:numPr>
          <w:ilvl w:val="0"/>
          <w:numId w:val="80"/>
        </w:numPr>
      </w:pPr>
      <w:r>
        <w:rPr>
          <w:b/>
        </w:rPr>
        <w:t>Lubasi:</w:t>
      </w:r>
      <w:r>
        <w:t xml:space="preserve"> help with an approved launch catalogue, operating policies, device reviewers and realistic remaining service requirements for the funding budget.</w:t>
      </w:r>
    </w:p>
    <w:p>
      <w:r>
        <w:t>No phase is complete. Continue Phase 1; no production, payout or additional marketplace scope is enabled.</w:t>
      </w:r>
    </w:p>
    <w:p>
      <w:r>
        <w:t>PHASE 1 BLOCKED — PRODUCTION REMAINS UNCHANGED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