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Header" Type="http://schemas.openxmlformats.org/officeDocument/2006/relationships/header" Target="word/header1.xml"/><Relationship Id="rIdFooter" Type="http://schemas.openxmlformats.org/officeDocument/2006/relationships/footer" Target="word/footer1.xml"/><Relationship Id="rIdStyles" Type="http://schemas.openxmlformats.org/officeDocument/2006/relationships/styles" Target="word/styles.xml"/><Relationship Id="rIdNumbering" Type="http://schemas.openxmlformats.org/officeDocument/2006/relationships/numbering" Target="word/numbering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40" w:line="300" w:lineRule="auto"/>
      </w:pPr>
      <w:r>
        <w:rPr>
          <w:rFonts w:ascii="Calibri" w:hAnsi="Calibri"/>
          <w:sz w:val="20"/>
          <w:szCs w:val="20"/>
          <w:b/>
          <w:color w:val="00A7D9"/>
        </w:rPr>
        <w:t>VIRTUAL INK</w:t>
      </w:r>
    </w:p>
    <w:p>
      <w:pPr>
        <w:spacing w:before="0" w:after="100" w:line="320" w:lineRule="auto"/>
      </w:pPr>
      <w:r>
        <w:rPr>
          <w:rFonts w:ascii="Calibri" w:hAnsi="Calibri"/>
          <w:sz w:val="42"/>
          <w:szCs w:val="42"/>
          <w:b/>
          <w:color w:val="0B0F17"/>
        </w:rPr>
        <w:t>Team progress and starting-point report</w:t>
      </w:r>
    </w:p>
    <w:p>
      <w:pPr>
        <w:spacing w:before="0" w:after="260" w:line="300" w:lineRule="auto"/>
      </w:pPr>
      <w:r>
        <w:rPr>
          <w:rFonts w:ascii="Calibri" w:hAnsi="Calibri"/>
          <w:sz w:val="24"/>
          <w:szCs w:val="24"/>
          <w:color w:val="64748B"/>
        </w:rPr>
        <w:t>Phase 1 foundation  -&gt;  Supabase setup  -&gt;  next vertical slice</w:t>
      </w:r>
    </w:p>
    <w:tbl>
      <w:tblPr>
        <w:tblW w:w="9360" w:type="dxa"/>
        <w:tblInd w:w="120" w:type="dxa"/>
        <w:tblLayout w:type="fixed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D9E1EA"/>
          <w:insideV w:val="single" w:sz="4" w:color="D9E1EA"/>
        </w:tblBorders>
      </w:tblPr>
      <w:tblGrid>
        <w:gridCol w:w="2100"/>
        <w:gridCol w:w="7260"/>
      </w:tblGrid>
      <w:tr>
        <w:trPr>
          <w:tblHeader/>
        </w:trPr>
        <w:tc>
          <w:tcPr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Field</w:t>
            </w:r>
          </w:p>
        </w:tc>
        <w:tc>
          <w:tcPr>
            <w:tcW w:w="7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Value</w:t>
            </w:r>
          </w:p>
        </w:tc>
      </w:tr>
      <w:tr>
        <w:tc>
          <w:tcPr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Company</w:t>
            </w:r>
          </w:p>
        </w:tc>
        <w:tc>
          <w:tcPr>
            <w:tcW w:w="7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Shadow Root Security Technologies</w:t>
            </w:r>
          </w:p>
        </w:tc>
      </w:tr>
      <w:tr>
        <w:tc>
          <w:tcPr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Project</w:t>
            </w:r>
          </w:p>
        </w:tc>
        <w:tc>
          <w:tcPr>
            <w:tcW w:w="7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Virtual Ink - Your Ideas. Our Print. Delivered.</w:t>
            </w:r>
          </w:p>
        </w:tc>
      </w:tr>
      <w:tr>
        <w:tc>
          <w:tcPr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Report date</w:t>
            </w:r>
          </w:p>
        </w:tc>
        <w:tc>
          <w:tcPr>
            <w:tcW w:w="7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8 October 2026</w:t>
            </w:r>
          </w:p>
        </w:tc>
      </w:tr>
      <w:tr>
        <w:tc>
          <w:tcPr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Current commit</w:t>
            </w:r>
          </w:p>
        </w:tc>
        <w:tc>
          <w:tcPr>
            <w:tcW w:w="7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ec10729 - Build Virtual Ink foundation and provision Supabase project</w:t>
            </w:r>
          </w:p>
        </w:tc>
      </w:tr>
      <w:tr>
        <w:tc>
          <w:tcPr>
            <w:tcW w:w="2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Audience</w:t>
            </w:r>
          </w:p>
        </w:tc>
        <w:tc>
          <w:tcPr>
            <w:tcW w:w="7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Uchi Chinyama, Mumba Chitonge, Taizya Nakapende and Lubasi Monde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4" w:color="B8DCE8"/>
          <w:left w:val="single" w:sz="4" w:color="B8DCE8"/>
          <w:bottom w:val="single" w:sz="4" w:color="B8DCE8"/>
          <w:right w:val="single" w:sz="4" w:color="B8DCE8"/>
        </w:tblBorders>
      </w:tblPr>
      <w:tblGrid>
        <w:gridCol w:w="9360"/>
      </w:tblGrid>
      <w:tr>
        <w:tc>
          <w:tcPr>
            <w:tcW w:w="9360" w:type="dx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val="clear" w:color="auto" w:fill="EAF9FF"/>
          </w:tcPr>
          <w:p>
            <w:pPr>
              <w:spacing w:before="0" w:after="20" w:line="280" w:lineRule="auto"/>
            </w:pPr>
            <w:r>
              <w:rPr>
                <w:rFonts w:ascii="Calibri" w:hAnsi="Calibri"/>
                <w:sz w:val="22"/>
                <w:szCs w:val="22"/>
                <w:b/>
                <w:color w:val="006B8F"/>
              </w:rPr>
              <w:t xml:space="preserve">Current status: </w:t>
            </w:r>
            <w:r>
              <w:rPr>
                <w:rFonts w:ascii="Calibri" w:hAnsi="Calibri"/>
                <w:sz w:val="22"/>
                <w:szCs w:val="22"/>
                <w:color w:val="111827"/>
              </w:rPr>
              <w:t>Foundation delivery is complete for the first slice. A free-tier Supabase development project is active and healthy, but it is intentionally empty. The next approved build slice is Backend Phase 2: identity, roles, permissions and tenant isolation.</w:t>
            </w:r>
          </w:p>
        </w:tc>
      </w:tr>
    </w:tbl>
    <w:p>
      <w:r>
        <w:br w:type="page"/>
      </w:r>
    </w:p>
    <w:p>
      <w:pPr>
        <w:pStyle w:val="Heading1"/>
        <w:spacing w:before="360" w:after="140" w:line="300" w:lineRule="auto"/>
        <w:keepNext/>
      </w:pPr>
      <w:r>
        <w:rPr>
          <w:rFonts w:ascii="Calibri" w:hAnsi="Calibri"/>
          <w:sz w:val="32"/>
          <w:szCs w:val="32"/>
          <w:b/>
          <w:color w:val="173B5E"/>
        </w:rPr>
        <w:t>1. Executive status</w:t>
      </w:r>
    </w:p>
    <w:p>
      <w:pPr>
        <w:spacing w:before="0" w:after="120" w:line="300" w:lineRule="auto"/>
      </w:pPr>
      <w:r>
        <w:rPr>
          <w:rFonts w:ascii="Calibri" w:hAnsi="Calibri"/>
          <w:sz w:val="22"/>
          <w:szCs w:val="22"/>
          <w:color w:val="111827"/>
        </w:rPr>
        <w:t>Virtual Ink now has a documented handover pack, a secure backend base, a responsive frontend source shell and a provider-neutral database direction. The team can begin coordinated work immediately, while keeping marketplace behavior, commercial rules and sensitive persistence behind explicit acceptance gates.</w:t>
      </w:r>
    </w:p>
    <w:tbl>
      <w:tblPr>
        <w:tblW w:w="9360" w:type="dxa"/>
        <w:tblInd w:w="120" w:type="dxa"/>
        <w:tblLayout w:type="fixed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D9E1EA"/>
          <w:insideV w:val="single" w:sz="4" w:color="D9E1EA"/>
        </w:tblBorders>
      </w:tblPr>
      <w:tblGrid>
        <w:gridCol w:w="1800"/>
        <w:gridCol w:w="1500"/>
        <w:gridCol w:w="4100"/>
        <w:gridCol w:w="1960"/>
      </w:tblGrid>
      <w:tr>
        <w:trPr>
          <w:tblHeader/>
        </w:trP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Area</w:t>
            </w:r>
          </w:p>
        </w:tc>
        <w:tc>
          <w:tcPr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Status</w:t>
            </w:r>
          </w:p>
        </w:tc>
        <w:tc>
          <w:tcPr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Evidence</w:t>
            </w:r>
          </w:p>
        </w:tc>
        <w:tc>
          <w:tcPr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Next owner</w:t>
            </w:r>
          </w:p>
        </w:tc>
      </w:tr>
      <w:t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Repository and handover</w:t>
            </w:r>
          </w:p>
        </w:tc>
        <w:tc>
          <w:tcPr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Delivered</w:t>
            </w:r>
          </w:p>
        </w:tc>
        <w:tc>
          <w:tcPr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README, role templates, board, prompts, acceptance and completion docs</w:t>
            </w:r>
          </w:p>
        </w:tc>
        <w:tc>
          <w:tcPr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All leads acknowledge</w:t>
            </w:r>
          </w:p>
        </w:tc>
      </w:tr>
      <w:t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Backend Phase 1</w:t>
            </w:r>
          </w:p>
        </w:tc>
        <w:tc>
          <w:tcPr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Delivered</w:t>
            </w:r>
          </w:p>
        </w:tc>
        <w:tc>
          <w:tcPr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Health, config, errors, validation, audit/storage contracts and 38 passing tests</w:t>
            </w:r>
          </w:p>
        </w:tc>
        <w:tc>
          <w:tcPr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Mumba review</w:t>
            </w:r>
          </w:p>
        </w:tc>
      </w:tr>
      <w:t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Frontend foundation</w:t>
            </w:r>
          </w:p>
        </w:tc>
        <w:tc>
          <w:tcPr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Source delivered</w:t>
            </w:r>
          </w:p>
        </w:tc>
        <w:tc>
          <w:tcPr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Next.js/React shell, approved logo, Poppins, responsive routes and health status</w:t>
            </w:r>
          </w:p>
        </w:tc>
        <w:tc>
          <w:tcPr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Taizya + Mumba verify</w:t>
            </w:r>
          </w:p>
        </w:tc>
      </w:tr>
      <w:t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Supabase project</w:t>
            </w:r>
          </w:p>
        </w:tc>
        <w:tc>
          <w:tcPr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Active / empty</w:t>
            </w:r>
          </w:p>
        </w:tc>
        <w:tc>
          <w:tcPr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Virtual Ink project ref `odgxcuwueessxfsoveza`, eu-west-1, ACTIVE_HEALTHY</w:t>
            </w:r>
          </w:p>
        </w:tc>
        <w:tc>
          <w:tcPr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Mumba configure safely</w:t>
            </w:r>
          </w:p>
        </w:tc>
      </w:tr>
      <w:t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Application database schema</w:t>
            </w:r>
          </w:p>
        </w:tc>
        <w:tc>
          <w:tcPr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Not started</w:t>
            </w:r>
          </w:p>
        </w:tc>
        <w:tc>
          <w:tcPr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No application tables in the new project</w:t>
            </w:r>
          </w:p>
        </w:tc>
        <w:tc>
          <w:tcPr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Mumba Phase 2</w:t>
            </w:r>
          </w:p>
        </w:tc>
      </w:tr>
      <w:t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Auth, roles and tenant isolation</w:t>
            </w:r>
          </w:p>
        </w:tc>
        <w:tc>
          <w:tcPr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Not started</w:t>
            </w:r>
          </w:p>
        </w:tc>
        <w:tc>
          <w:tcPr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Plan and permission boundary only</w:t>
            </w:r>
          </w:p>
        </w:tc>
        <w:tc>
          <w:tcPr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Uchi + Mumba</w:t>
            </w:r>
          </w:p>
        </w:tc>
      </w:tr>
      <w:t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Vendor, pricing and delivery rules</w:t>
            </w:r>
          </w:p>
        </w:tc>
        <w:tc>
          <w:tcPr>
            <w:tcW w:w="1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Open</w:t>
            </w:r>
          </w:p>
        </w:tc>
        <w:tc>
          <w:tcPr>
            <w:tcW w:w="4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No real vendors, prices, commissions, taxes or partners invented</w:t>
            </w:r>
          </w:p>
        </w:tc>
        <w:tc>
          <w:tcPr>
            <w:tcW w:w="19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Lubasi + Uchi</w:t>
            </w:r>
          </w:p>
        </w:tc>
      </w:tr>
    </w:tbl>
    <w:p>
      <w:pPr>
        <w:pStyle w:val="Heading1"/>
        <w:spacing w:before="360" w:after="140" w:line="300" w:lineRule="auto"/>
        <w:keepNext/>
      </w:pPr>
      <w:r>
        <w:rPr>
          <w:rFonts w:ascii="Calibri" w:hAnsi="Calibri"/>
          <w:sz w:val="32"/>
          <w:szCs w:val="32"/>
          <w:b/>
          <w:color w:val="173B5E"/>
        </w:rPr>
        <w:t>2. What has been built</w:t>
      </w:r>
    </w:p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Handover and coordination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A single README and linked documentation index for the repository.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A role handover process covering Uchi, Mumba, Taizya and Lubasi.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A task board with owners, dependencies, reviewers, evidence and blocked-state rules.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Reusable prompts for each lead and the weekly review.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Acceptance, UX, operations/vendor, open-questions and Phase 1 completion templates.</w:t>
      </w:r>
    </w:p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Backend foundation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Health endpoints: `/health` and versioned `/api/v1/health` with safe response envelopes.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Environment/config validation, standard errors, bounded request validation and safe request IDs.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Fail-closed audit event helper, private object/file access contracts and demo-only job probe.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Provider-neutral SQL transaction ports and a server-only Supabase REST transport boundary.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Local-only PostgreSQL migration, seed, probe and SQL assertion scripts that reject unsafe database targets.</w:t>
      </w:r>
    </w:p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Frontend source foundation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Next.js App Router source under `apps/web` with customer-facing shell routes.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Approved logo asset reused from `asssets/`, Poppins typography, brand tokens and responsive navigation.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Homepage, shop/category preview, design services, business, how-it-works and roadmap pages.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No fake order completion, payment success, vendor verification or fulfilment claims.</w:t>
      </w:r>
    </w:p>
    <w:p>
      <w:r>
        <w:br w:type="page"/>
      </w:r>
    </w:p>
    <w:p>
      <w:pPr>
        <w:pStyle w:val="Heading1"/>
        <w:spacing w:before="360" w:after="140" w:line="300" w:lineRule="auto"/>
        <w:keepNext/>
      </w:pPr>
      <w:r>
        <w:rPr>
          <w:rFonts w:ascii="Calibri" w:hAnsi="Calibri"/>
          <w:sz w:val="32"/>
          <w:szCs w:val="32"/>
          <w:b/>
          <w:color w:val="173B5E"/>
        </w:rPr>
        <w:t>3. Current technical state</w:t>
      </w:r>
    </w:p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Architecture direction</w:t>
      </w:r>
    </w:p>
    <w:p>
      <w:pPr>
        <w:spacing w:before="0" w:after="120" w:line="300" w:lineRule="auto"/>
      </w:pPr>
      <w:r>
        <w:rPr>
          <w:rFonts w:ascii="Calibri" w:hAnsi="Calibri"/>
          <w:sz w:val="22"/>
          <w:szCs w:val="22"/>
          <w:color w:val="111827"/>
        </w:rPr>
        <w:t>The application is being kept modular so the managed provider can be replaced later without rewriting the domain layer:</w:t>
      </w:r>
    </w:p>
    <w:p>
      <w:pPr>
        <w:spacing w:before="60" w:after="140" w:line="260" w:lineRule="auto"/>
        <w:shd w:val="clear" w:color="auto" w:fill="F2F4F7"/>
      </w:pPr>
      <w:r>
        <w:rPr>
          <w:rFonts w:ascii="Consolas" w:hAnsi="Consolas"/>
          <w:sz w:val="19"/>
          <w:szCs w:val="19"/>
          <w:color w:val="173B5E"/>
        </w:rPr>
        <w:t>React / Next.js interface
        -&gt; Virtual Ink server API boundary
        -&gt; verified identity, permissions and tenant scope
        -&gt; provider-neutral repositories and transaction port
        -&gt; Supabase PostgreSQL initially
        -&gt; owned PostgreSQL later, when control/cost/recovery requirements justify it</w:t>
      </w:r>
    </w:p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Supabase project record</w:t>
      </w:r>
    </w:p>
    <w:tbl>
      <w:tblPr>
        <w:tblW w:w="9360" w:type="dxa"/>
        <w:tblInd w:w="120" w:type="dxa"/>
        <w:tblLayout w:type="fixed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D9E1EA"/>
          <w:insideV w:val="single" w:sz="4" w:color="D9E1EA"/>
        </w:tblBorders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Field</w:t>
            </w:r>
          </w:p>
        </w:tc>
        <w:tc>
          <w:tcPr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F2F4F7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Current value</w:t>
            </w:r>
          </w:p>
        </w:tc>
      </w:tr>
      <w:tr>
        <w:tc>
          <w:tcPr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Project name</w:t>
            </w:r>
          </w:p>
        </w:tc>
        <w:tc>
          <w:tcPr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Virtual Ink</w:t>
            </w:r>
          </w:p>
        </w:tc>
      </w:tr>
      <w:tr>
        <w:tc>
          <w:tcPr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Project ref</w:t>
            </w:r>
          </w:p>
        </w:tc>
        <w:tc>
          <w:tcPr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odgxcuwueessxfsoveza</w:t>
            </w:r>
          </w:p>
        </w:tc>
      </w:tr>
      <w:tr>
        <w:tc>
          <w:tcPr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Region</w:t>
            </w:r>
          </w:p>
        </w:tc>
        <w:tc>
          <w:tcPr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eu-west-1</w:t>
            </w:r>
          </w:p>
        </w:tc>
      </w:tr>
      <w:tr>
        <w:tc>
          <w:tcPr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Status</w:t>
            </w:r>
          </w:p>
        </w:tc>
        <w:tc>
          <w:tcPr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ACTIVE_HEALTHY</w:t>
            </w:r>
          </w:p>
        </w:tc>
      </w:tr>
      <w:tr>
        <w:tc>
          <w:tcPr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API URL</w:t>
            </w:r>
          </w:p>
        </w:tc>
        <w:tc>
          <w:tcPr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https://odgxcuwueessxfsoveza.supabase.co</w:t>
            </w:r>
          </w:p>
        </w:tc>
      </w:tr>
      <w:tr>
        <w:tc>
          <w:tcPr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Monthly tier</w:t>
            </w:r>
          </w:p>
        </w:tc>
        <w:tc>
          <w:tcPr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$0/month free tier</w:t>
            </w:r>
          </w:p>
        </w:tc>
      </w:tr>
      <w:tr>
        <w:tc>
          <w:tcPr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Application tables</w:t>
            </w:r>
          </w:p>
        </w:tc>
        <w:tc>
          <w:tcPr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None yet</w:t>
            </w:r>
          </w:p>
        </w:tc>
      </w:tr>
      <w:tr>
        <w:tc>
          <w:tcPr>
            <w:tcW w:w="2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Keys in Git</w:t>
            </w:r>
          </w:p>
        </w:tc>
        <w:tc>
          <w:tcPr>
            <w:tcW w:w="7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None; publishable key and database credentials remain outside the repository</w:t>
            </w:r>
          </w:p>
        </w:tc>
      </w:tr>
    </w:tbl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Security baseline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Client-supplied totals, vendor IDs and roles are not authorization sources.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Customer files are private by default and no file route is open in this slice.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Delivery partners are planned to receive assigned delivery fields only, never print files or proofs.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Secrets, database URLs, storage keys and signed URLs stay server-side and out of logs/Git.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Audit writes are designed to fail closed when a required durable sink is missing.</w:t>
      </w:r>
    </w:p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Local run</w:t>
      </w:r>
    </w:p>
    <w:p>
      <w:pPr>
        <w:spacing w:before="60" w:after="140" w:line="260" w:lineRule="auto"/>
        <w:shd w:val="clear" w:color="auto" w:fill="F2F4F7"/>
      </w:pPr>
      <w:r>
        <w:rPr>
          <w:rFonts w:ascii="Consolas" w:hAnsi="Consolas"/>
          <w:sz w:val="19"/>
          <w:szCs w:val="19"/>
          <w:color w:val="173B5E"/>
        </w:rPr>
        <w:t>cd D:\Work\Projects\virtual-ink
npm test
npm start
# health: http://127.0.0.1:3000/health
# versioned: http://127.0.0.1:3000/api/v1/health</w:t>
      </w:r>
    </w:p>
    <w:p>
      <w:pPr>
        <w:pStyle w:val="Heading1"/>
        <w:spacing w:before="360" w:after="140" w:line="300" w:lineRule="auto"/>
        <w:keepNext/>
      </w:pPr>
      <w:r>
        <w:rPr>
          <w:rFonts w:ascii="Calibri" w:hAnsi="Calibri"/>
          <w:sz w:val="32"/>
          <w:szCs w:val="32"/>
          <w:b/>
          <w:color w:val="173B5E"/>
        </w:rPr>
        <w:t>4. Verification and known limits</w:t>
      </w:r>
    </w:p>
    <w:tbl>
      <w:tblPr>
        <w:tblW w:w="9360" w:type="dxa"/>
        <w:tblInd w:w="120" w:type="dxa"/>
        <w:tblLayout w:type="fixed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D9E1EA"/>
          <w:insideV w:val="single" w:sz="4" w:color="D9E1EA"/>
        </w:tblBorders>
      </w:tblPr>
      <w:tblGrid>
        <w:gridCol w:w="2500"/>
        <w:gridCol w:w="1700"/>
        <w:gridCol w:w="5160"/>
      </w:tblGrid>
      <w:tr>
        <w:trPr>
          <w:tblHeader/>
        </w:trPr>
        <w:tc>
          <w:tcPr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Check</w:t>
            </w:r>
          </w:p>
        </w:tc>
        <w:tc>
          <w:tcPr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Result</w:t>
            </w:r>
          </w:p>
        </w:tc>
        <w:tc>
          <w:tcPr>
            <w:tcW w:w="5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Meaning</w:t>
            </w:r>
          </w:p>
        </w:tc>
      </w:tr>
      <w:tr>
        <w:tc>
          <w:tcPr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Automated backend tests</w:t>
            </w:r>
          </w:p>
        </w:tc>
        <w:tc>
          <w:tcPr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38 passed / 0 failed</w:t>
            </w:r>
          </w:p>
        </w:tc>
        <w:tc>
          <w:tcPr>
            <w:tcW w:w="5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Health, config, API privacy, validation, audit/storage contracts and Supabase adapter contracts pass.</w:t>
            </w:r>
          </w:p>
        </w:tc>
      </w:tr>
      <w:tr>
        <w:tc>
          <w:tcPr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Strict backend TypeScript check</w:t>
            </w:r>
          </w:p>
        </w:tc>
        <w:tc>
          <w:tcPr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Passed</w:t>
            </w:r>
          </w:p>
        </w:tc>
        <w:tc>
          <w:tcPr>
            <w:tcW w:w="5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Read-only compiler check passed; no remote runtime was assumed.</w:t>
            </w:r>
          </w:p>
        </w:tc>
      </w:tr>
      <w:tr>
        <w:tc>
          <w:tcPr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Supabase project health</w:t>
            </w:r>
          </w:p>
        </w:tc>
        <w:tc>
          <w:tcPr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Passed</w:t>
            </w:r>
          </w:p>
        </w:tc>
        <w:tc>
          <w:tcPr>
            <w:tcW w:w="5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Project is active; table list is empty; security and performance advisors have no findings.</w:t>
            </w:r>
          </w:p>
        </w:tc>
      </w:tr>
      <w:tr>
        <w:tc>
          <w:tcPr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Frontend install/build/browser QA</w:t>
            </w:r>
          </w:p>
        </w:tc>
        <w:tc>
          <w:tcPr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Blocked</w:t>
            </w:r>
          </w:p>
        </w:tc>
        <w:tc>
          <w:tcPr>
            <w:tcW w:w="5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Registry/proxy access prevented dependency installation in this environment.</w:t>
            </w:r>
          </w:p>
        </w:tc>
      </w:tr>
      <w:tr>
        <w:tc>
          <w:tcPr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PostgreSQL runtime migration tests</w:t>
            </w:r>
          </w:p>
        </w:tc>
        <w:tc>
          <w:tcPr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Blocked</w:t>
            </w:r>
          </w:p>
        </w:tc>
        <w:tc>
          <w:tcPr>
            <w:tcW w:w="5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Docker was unavailable and an isolated Windows PostgreSQL server could not start.</w:t>
            </w:r>
          </w:p>
        </w:tc>
      </w:tr>
      <w:tr>
        <w:tc>
          <w:tcPr>
            <w:tcW w:w="25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Remote GitHub push</w:t>
            </w:r>
          </w:p>
        </w:tc>
        <w:tc>
          <w:tcPr>
            <w:tcW w:w="1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Blocked</w:t>
            </w:r>
          </w:p>
        </w:tc>
        <w:tc>
          <w:tcPr>
            <w:tcW w:w="51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Commit exists locally; GitHub connection failed through the environment proxy.</w:t>
            </w:r>
          </w:p>
        </w:tc>
      </w:tr>
    </w:tbl>
    <w:tbl>
      <w:tblPr>
        <w:tblW w:w="9360" w:type="dxa"/>
        <w:tblInd w:w="120" w:type="dxa"/>
        <w:tblLayout w:type="fixed"/>
        <w:tblBorders>
          <w:top w:val="single" w:sz="4" w:color="B8DCE8"/>
          <w:left w:val="single" w:sz="4" w:color="B8DCE8"/>
          <w:bottom w:val="single" w:sz="4" w:color="B8DCE8"/>
          <w:right w:val="single" w:sz="4" w:color="B8DCE8"/>
        </w:tblBorders>
      </w:tblPr>
      <w:tblGrid>
        <w:gridCol w:w="9360"/>
      </w:tblGrid>
      <w:tr>
        <w:tc>
          <w:tcPr>
            <w:tcW w:w="9360" w:type="dx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val="clear" w:color="auto" w:fill="FFF8E8"/>
          </w:tcPr>
          <w:p>
            <w:pPr>
              <w:spacing w:before="0" w:after="20" w:line="280" w:lineRule="auto"/>
            </w:pPr>
            <w:r>
              <w:rPr>
                <w:rFonts w:ascii="Calibri" w:hAnsi="Calibri"/>
                <w:sz w:val="22"/>
                <w:szCs w:val="22"/>
                <w:b/>
                <w:color w:val="006B8F"/>
              </w:rPr>
              <w:t xml:space="preserve">Do not overclaim: </w:t>
            </w:r>
            <w:r>
              <w:rPr>
                <w:rFonts w:ascii="Calibri" w:hAnsi="Calibri"/>
                <w:sz w:val="22"/>
                <w:szCs w:val="22"/>
                <w:color w:val="111827"/>
              </w:rPr>
              <w:t>The current build is a foundation, not a working marketplace. No real customer account, checkout, payment, delivery, printer automation, upload processing, vendor dashboard or admin workflow has been delivered.</w:t>
            </w:r>
          </w:p>
        </w:tc>
      </w:tr>
    </w:tbl>
    <w:p>
      <w:r>
        <w:br w:type="page"/>
      </w:r>
    </w:p>
    <w:p>
      <w:pPr>
        <w:pStyle w:val="Heading1"/>
        <w:spacing w:before="360" w:after="140" w:line="300" w:lineRule="auto"/>
        <w:keepNext/>
      </w:pPr>
      <w:r>
        <w:rPr>
          <w:rFonts w:ascii="Calibri" w:hAnsi="Calibri"/>
          <w:sz w:val="32"/>
          <w:szCs w:val="32"/>
          <w:b/>
          <w:color w:val="173B5E"/>
        </w:rPr>
        <w:t>5. Where each person starts</w:t>
      </w:r>
    </w:p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Uchi Chinyama - Product and Project Lead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Read `docs/phase-1-handover.md`, `docs/task-board.md`, `docs/open-questions.md` and this report.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Acknowledge the Phase 1 scope and mark the lead review rows in `docs/phase-1-completion-checklist.md`.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Resolve the first product decisions: launch area, guest limits, tenant meaning, support ownership and file retention.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Approve one narrow Backend Phase 2 acceptance record before sensitive tables or auth behavior are added.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Keep all commercial facts labelled as pending until Lubasi supplies evidence and Uchi approves them.</w:t>
      </w:r>
    </w:p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Mumba Chitonge - Technical Lead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Read `docs/backend-foundation.md`, `docs/permissions-plan.md`, `docs/api-standards.md` and `docs/supabase-migration-plan.md`.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Configure Supabase only with restricted server credentials and a reviewed connection mode; never commit keys.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Prepare the first migration for application-owned users, tenants, memberships and durable audit records.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Implement server-derived tenant scope and denial tests for unauthenticated, inactive, wrong-role and cross-tenant access.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Keep Supabase Auth and Storage behind adapters; preserve the owned-PostgreSQL exit path.</w:t>
      </w:r>
    </w:p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Taizya Nakapende - UX and Visual Design Lead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Review the source shell and the supplied approved logo/reference assets; no new branding asset is required to start.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Choose the first user flow for implementation and complete `docs/ux-handover-template.md`.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Specify screen fields, empty/loading/error states, accessibility notes and mobile behavior.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Mark any concept-board UI as reference only; do not imply that marketplace interactions are live.</w:t>
      </w:r>
    </w:p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Lubasi Monde - Partnerships and Operations Lead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Use `docs/operations-handover-template.md` to collect vendor and delivery discovery evidence.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Record unknowns instead of inventing vendor names, prices, commissions, tax rules, delivery zones or turnaround promises.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Clarify payment verification, reprint/refund, support escalation and delivery handover requirements.</w:t>
      </w:r>
    </w:p>
    <w:p>
      <w:pPr>
        <w:spacing w:before="0" w:after="80" w:line="300" w:lineRule="auto"/>
        <w:numPr>
          <w:ilvl w:val="0"/>
          <w:numId w:val="2"/>
        </w:numPr>
      </w:pPr>
      <w:r>
        <w:rPr>
          <w:rFonts w:ascii="Calibri" w:hAnsi="Calibri"/>
          <w:sz w:val="22"/>
          <w:szCs w:val="22"/>
          <w:color w:val="111827"/>
        </w:rPr>
        <w:t>Return evidence references to Uchi for approval before Mumba turns requirements into API or database rules.</w:t>
      </w:r>
    </w:p>
    <w:p>
      <w:pPr>
        <w:pStyle w:val="Heading1"/>
        <w:spacing w:before="360" w:after="140" w:line="300" w:lineRule="auto"/>
        <w:keepNext/>
      </w:pPr>
      <w:r>
        <w:rPr>
          <w:rFonts w:ascii="Calibri" w:hAnsi="Calibri"/>
          <w:sz w:val="32"/>
          <w:szCs w:val="32"/>
          <w:b/>
          <w:color w:val="173B5E"/>
        </w:rPr>
        <w:t>6. First shared working session</w:t>
      </w:r>
    </w:p>
    <w:tbl>
      <w:tblPr>
        <w:tblW w:w="9360" w:type="dxa"/>
        <w:tblInd w:w="120" w:type="dxa"/>
        <w:tblLayout w:type="fixed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D9E1EA"/>
          <w:insideV w:val="single" w:sz="4" w:color="D9E1EA"/>
        </w:tblBorders>
      </w:tblPr>
      <w:tblGrid>
        <w:gridCol w:w="900"/>
        <w:gridCol w:w="5260"/>
        <w:gridCol w:w="3200"/>
      </w:tblGrid>
      <w:tr>
        <w:trPr>
          <w:tblHeader/>
        </w:trPr>
        <w:tc>
          <w:tcPr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Order</w:t>
            </w:r>
          </w:p>
        </w:tc>
        <w:tc>
          <w:tcPr>
            <w:tcW w:w="5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Decision or activity</w:t>
            </w:r>
          </w:p>
        </w:tc>
        <w:tc>
          <w:tcPr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Output</w:t>
            </w:r>
          </w:p>
        </w:tc>
      </w:tr>
      <w:tr>
        <w:tc>
          <w:tcPr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1</w:t>
            </w:r>
          </w:p>
        </w:tc>
        <w:tc>
          <w:tcPr>
            <w:tcW w:w="5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Confirm the Phase 2 slice: identity, roles, permissions and tenant model.</w:t>
            </w:r>
          </w:p>
        </w:tc>
        <w:tc>
          <w:tcPr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One accepted scope statement</w:t>
            </w:r>
          </w:p>
        </w:tc>
      </w:tr>
      <w:tr>
        <w:tc>
          <w:tcPr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2</w:t>
            </w:r>
          </w:p>
        </w:tc>
        <w:tc>
          <w:tcPr>
            <w:tcW w:w="5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Resolve guest/customer and tenant boundary questions.</w:t>
            </w:r>
          </w:p>
        </w:tc>
        <w:tc>
          <w:tcPr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Permission matrix with denial cases</w:t>
            </w:r>
          </w:p>
        </w:tc>
      </w:tr>
      <w:tr>
        <w:tc>
          <w:tcPr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3</w:t>
            </w:r>
          </w:p>
        </w:tc>
        <w:tc>
          <w:tcPr>
            <w:tcW w:w="5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Confirm the Supabase development connection approach.</w:t>
            </w:r>
          </w:p>
        </w:tc>
        <w:tc>
          <w:tcPr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Restricted credential plan and rollback note</w:t>
            </w:r>
          </w:p>
        </w:tc>
      </w:tr>
      <w:tr>
        <w:tc>
          <w:tcPr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4</w:t>
            </w:r>
          </w:p>
        </w:tc>
        <w:tc>
          <w:tcPr>
            <w:tcW w:w="5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Pick the first UX flow and document all states.</w:t>
            </w:r>
          </w:p>
        </w:tc>
        <w:tc>
          <w:tcPr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Completed UX handover</w:t>
            </w:r>
          </w:p>
        </w:tc>
      </w:tr>
      <w:tr>
        <w:tc>
          <w:tcPr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5</w:t>
            </w:r>
          </w:p>
        </w:tc>
        <w:tc>
          <w:tcPr>
            <w:tcW w:w="5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Review operations evidence needed for that flow.</w:t>
            </w:r>
          </w:p>
        </w:tc>
        <w:tc>
          <w:tcPr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Operations handover or explicit N/A</w:t>
            </w:r>
          </w:p>
        </w:tc>
      </w:tr>
      <w:tr>
        <w:tc>
          <w:tcPr>
            <w:tcW w:w="9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6</w:t>
            </w:r>
          </w:p>
        </w:tc>
        <w:tc>
          <w:tcPr>
            <w:tcW w:w="52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Set the next task board items to Ready.</w:t>
            </w:r>
          </w:p>
        </w:tc>
        <w:tc>
          <w:tcPr>
            <w:tcW w:w="32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One owner per task and a review date</w:t>
            </w:r>
          </w:p>
        </w:tc>
      </w:tr>
    </w:tbl>
    <w:p>
      <w:pPr>
        <w:pStyle w:val="Heading1"/>
        <w:spacing w:before="360" w:after="140" w:line="300" w:lineRule="auto"/>
        <w:keepNext/>
      </w:pPr>
      <w:r>
        <w:rPr>
          <w:rFonts w:ascii="Calibri" w:hAnsi="Calibri"/>
          <w:sz w:val="32"/>
          <w:szCs w:val="32"/>
          <w:b/>
          <w:color w:val="173B5E"/>
        </w:rPr>
        <w:t>7. Open decisions still blocking marketplace work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Business ownership, launch area and initial service boundary.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Verified vendor list, vendor approval evidence and service catalogue.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Server-side pricing, commission model, payment verification and tax treatment.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Delivery zones, collection rules, proof of handover and partner responsibilities.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Private file retention, deletion, support access and incident handling.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Printer details, fulfilment capacity and any future automation constraints.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/>
          <w:sz w:val="22"/>
          <w:szCs w:val="22"/>
          <w:color w:val="111827"/>
        </w:rPr>
        <w:t>Brand asset ownership, legal terms, privacy notices and customer support policy.</w:t>
      </w:r>
    </w:p>
    <w:p>
      <w:r>
        <w:br w:type="page"/>
      </w:r>
    </w:p>
    <w:p>
      <w:pPr>
        <w:pStyle w:val="Heading1"/>
        <w:spacing w:before="360" w:after="140" w:line="300" w:lineRule="auto"/>
        <w:keepNext/>
      </w:pPr>
      <w:r>
        <w:rPr>
          <w:rFonts w:ascii="Calibri" w:hAnsi="Calibri"/>
          <w:sz w:val="32"/>
          <w:szCs w:val="32"/>
          <w:b/>
          <w:color w:val="173B5E"/>
        </w:rPr>
        <w:t>8. Recommended build order from here</w:t>
      </w:r>
    </w:p>
    <w:tbl>
      <w:tblPr>
        <w:tblW w:w="9360" w:type="dxa"/>
        <w:tblInd w:w="120" w:type="dxa"/>
        <w:tblLayout w:type="fixed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D9E1EA"/>
          <w:insideV w:val="single" w:sz="4" w:color="D9E1EA"/>
        </w:tblBorders>
      </w:tblPr>
      <w:tblGrid>
        <w:gridCol w:w="700"/>
        <w:gridCol w:w="3650"/>
        <w:gridCol w:w="5010"/>
      </w:tblGrid>
      <w:tr>
        <w:trPr>
          <w:tblHeader/>
        </w:trPr>
        <w:tc>
          <w:tcPr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Step</w:t>
            </w:r>
          </w:p>
        </w:tc>
        <w:tc>
          <w:tcPr>
            <w:tcW w:w="3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Slice</w:t>
            </w:r>
          </w:p>
        </w:tc>
        <w:tc>
          <w:tcPr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Exit evidence</w:t>
            </w:r>
          </w:p>
        </w:tc>
      </w:tr>
      <w:tr>
        <w:tc>
          <w:tcPr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1</w:t>
            </w:r>
          </w:p>
        </w:tc>
        <w:tc>
          <w:tcPr>
            <w:tcW w:w="3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Backend Phase 2: identity, roles, memberships and tenant model</w:t>
            </w:r>
          </w:p>
        </w:tc>
        <w:tc>
          <w:tcPr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Migration, permission matrix, denial/isolation tests and first durable audit event</w:t>
            </w:r>
          </w:p>
        </w:tc>
      </w:tr>
      <w:tr>
        <w:tc>
          <w:tcPr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2</w:t>
            </w:r>
          </w:p>
        </w:tc>
        <w:tc>
          <w:tcPr>
            <w:tcW w:w="3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Hosted Supabase schema verification</w:t>
            </w:r>
          </w:p>
        </w:tc>
        <w:tc>
          <w:tcPr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Reviewed migration, grants, RLS decision, connection smoke test and rollback note</w:t>
            </w:r>
          </w:p>
        </w:tc>
      </w:tr>
      <w:tr>
        <w:tc>
          <w:tcPr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3</w:t>
            </w:r>
          </w:p>
        </w:tc>
        <w:tc>
          <w:tcPr>
            <w:tcW w:w="3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Frontend dependency installation and QA</w:t>
            </w:r>
          </w:p>
        </w:tc>
        <w:tc>
          <w:tcPr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Real lockfile, typecheck, build, desktop/mobile and keyboard checks</w:t>
            </w:r>
          </w:p>
        </w:tc>
      </w:tr>
      <w:tr>
        <w:tc>
          <w:tcPr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4</w:t>
            </w:r>
          </w:p>
        </w:tc>
        <w:tc>
          <w:tcPr>
            <w:tcW w:w="3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Marketplace discovery</w:t>
            </w:r>
          </w:p>
        </w:tc>
        <w:tc>
          <w:tcPr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Verified vendor/storefront contract, server quote authority and accepted product flow</w:t>
            </w:r>
          </w:p>
        </w:tc>
      </w:tr>
      <w:tr>
        <w:tc>
          <w:tcPr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5</w:t>
            </w:r>
          </w:p>
        </w:tc>
        <w:tc>
          <w:tcPr>
            <w:tcW w:w="3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Private file and design brief slice</w:t>
            </w:r>
          </w:p>
        </w:tc>
        <w:tc>
          <w:tcPr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Retention policy, quarantine/access contract, audit evidence and UX states</w:t>
            </w:r>
          </w:p>
        </w:tc>
      </w:tr>
      <w:tr>
        <w:tc>
          <w:tcPr>
            <w:tcW w:w="7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6</w:t>
            </w:r>
          </w:p>
        </w:tc>
        <w:tc>
          <w:tcPr>
            <w:tcW w:w="365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Customer order journey</w:t>
            </w:r>
          </w:p>
        </w:tc>
        <w:tc>
          <w:tcPr>
            <w:tcW w:w="501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Server pricing and payment-record boundaries; no fake payment success</w:t>
            </w:r>
          </w:p>
        </w:tc>
      </w:tr>
    </w:tbl>
    <w:p>
      <w:pPr>
        <w:pStyle w:val="Heading2"/>
        <w:spacing w:before="260" w:after="100" w:line="300" w:lineRule="auto"/>
        <w:keepNext/>
      </w:pPr>
      <w:r>
        <w:rPr>
          <w:rFonts w:ascii="Calibri" w:hAnsi="Calibri"/>
          <w:sz w:val="26"/>
          <w:szCs w:val="26"/>
          <w:b/>
          <w:color w:val="173B5E"/>
        </w:rPr>
        <w:t>Recommended prompt for Mumba</w:t>
      </w:r>
    </w:p>
    <w:p>
      <w:pPr>
        <w:spacing w:before="60" w:after="140" w:line="260" w:lineRule="auto"/>
        <w:shd w:val="clear" w:color="auto" w:fill="F2F4F7"/>
      </w:pPr>
      <w:r>
        <w:rPr>
          <w:rFonts w:ascii="Consolas" w:hAnsi="Consolas"/>
          <w:sz w:val="19"/>
          <w:szCs w:val="19"/>
          <w:color w:val="173B5E"/>
        </w:rPr>
        <w:t>Build Virtual Ink Backend Phase 2: roles, permissions and tenant model for Customer or Guest, VendorOwner, VendorStaff, PlatformOperator and DeliveryPartner. Read docs/backend-foundation.md, docs/permissions-plan.md, docs/api-standards.md, docs/open-questions.md and this report. Use the active empty Supabase development project only after reviewing the migration, grants and rollback plan. Implement one narrow slice with provider-neutral application tables, server-derived tenant scope, least-privilege authorization and durable audit recording. Prove unauthenticated denial, inactive membership, wrong role, guessed IDs, cross-tenant access and delivery exclusion from print files/proofs. Preserve health/config contracts. Do not add catalogue, checkout, uploads, payments, courier integration, messaging or printer automation. Run tests and report evidence, blockers and handover notes.</w:t>
      </w:r>
    </w:p>
    <w:p>
      <w:pPr>
        <w:pStyle w:val="Heading1"/>
        <w:spacing w:before="360" w:after="140" w:line="300" w:lineRule="auto"/>
        <w:keepNext/>
      </w:pPr>
      <w:r>
        <w:rPr>
          <w:rFonts w:ascii="Calibri" w:hAnsi="Calibri"/>
          <w:sz w:val="32"/>
          <w:szCs w:val="32"/>
          <w:b/>
          <w:color w:val="173B5E"/>
        </w:rPr>
        <w:t>9. Signoff record</w:t>
      </w:r>
    </w:p>
    <w:p>
      <w:pPr>
        <w:spacing w:before="0" w:after="120" w:line="300" w:lineRule="auto"/>
      </w:pPr>
      <w:r>
        <w:rPr>
          <w:rFonts w:ascii="Calibri" w:hAnsi="Calibri"/>
          <w:sz w:val="22"/>
          <w:szCs w:val="22"/>
          <w:color w:val="111827"/>
        </w:rPr>
        <w:t>This report records engineering progress and starting points. It does not replace Uchi's product acceptance or the leads' acknowledgement.</w:t>
      </w:r>
    </w:p>
    <w:tbl>
      <w:tblPr>
        <w:tblW w:w="9360" w:type="dxa"/>
        <w:tblInd w:w="120" w:type="dxa"/>
        <w:tblLayout w:type="fixed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D9E1EA"/>
          <w:insideV w:val="single" w:sz="4" w:color="D9E1EA"/>
        </w:tblBorders>
      </w:tblPr>
      <w:tblGrid>
        <w:gridCol w:w="1800"/>
        <w:gridCol w:w="1400"/>
        <w:gridCol w:w="1100"/>
        <w:gridCol w:w="5060"/>
      </w:tblGrid>
      <w:tr>
        <w:trPr>
          <w:tblHeader/>
        </w:trP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Lead</w:t>
            </w:r>
          </w:p>
        </w:tc>
        <w:tc>
          <w:tcPr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Acknowledgement</w:t>
            </w:r>
          </w:p>
        </w:tc>
        <w:tc>
          <w:tcPr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Date</w:t>
            </w:r>
          </w:p>
        </w:tc>
        <w:tc>
          <w:tcPr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val="clear" w:color="auto" w:fill="E8EEF5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b/>
                <w:color w:val="173B5E"/>
              </w:rPr>
              <w:t>Next action</w:t>
            </w:r>
          </w:p>
        </w:tc>
      </w:tr>
      <w:t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Uchi Chinyama</w:t>
            </w:r>
          </w:p>
        </w:tc>
        <w:tc>
          <w:tcPr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Pending</w:t>
            </w:r>
          </w:p>
        </w:tc>
        <w:tc>
          <w:tcPr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/>
            </w:r>
          </w:p>
        </w:tc>
        <w:tc>
          <w:tcPr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Review scope, open questions and Phase 2 acceptance</w:t>
            </w:r>
          </w:p>
        </w:tc>
      </w:tr>
      <w:t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Mumba Chitonge</w:t>
            </w:r>
          </w:p>
        </w:tc>
        <w:tc>
          <w:tcPr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Pending</w:t>
            </w:r>
          </w:p>
        </w:tc>
        <w:tc>
          <w:tcPr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/>
            </w:r>
          </w:p>
        </w:tc>
        <w:tc>
          <w:tcPr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Review technical baseline and Supabase migration plan</w:t>
            </w:r>
          </w:p>
        </w:tc>
      </w:tr>
      <w:t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Taizya Nakapende</w:t>
            </w:r>
          </w:p>
        </w:tc>
        <w:tc>
          <w:tcPr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Pending</w:t>
            </w:r>
          </w:p>
        </w:tc>
        <w:tc>
          <w:tcPr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/>
            </w:r>
          </w:p>
        </w:tc>
        <w:tc>
          <w:tcPr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Choose first flow and complete UX handover</w:t>
            </w:r>
          </w:p>
        </w:tc>
      </w:tr>
      <w:tr>
        <w:tc>
          <w:tcPr>
            <w:tcW w:w="18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Lubasi Monde</w:t>
            </w:r>
          </w:p>
        </w:tc>
        <w:tc>
          <w:tcPr>
            <w:tcW w:w="14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Pending</w:t>
            </w:r>
          </w:p>
        </w:tc>
        <w:tc>
          <w:tcPr>
            <w:tcW w:w="110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/>
            </w:r>
          </w:p>
        </w:tc>
        <w:tc>
          <w:tcPr>
            <w:tcW w:w="5060" w:type="dx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20" w:line="260" w:lineRule="auto"/>
            </w:pPr>
            <w:r>
              <w:rPr>
                <w:rFonts w:ascii="Calibri" w:hAnsi="Calibri"/>
                <w:sz w:val="19"/>
                <w:szCs w:val="19"/>
                <w:color w:val="111827"/>
              </w:rPr>
              <w:t>Complete vendor/delivery discovery handover</w:t>
            </w:r>
          </w:p>
        </w:tc>
      </w:tr>
    </w:tbl>
    <w:p>
      <w:pPr>
        <w:spacing w:before="180" w:after="0" w:line="300" w:lineRule="auto"/>
      </w:pPr>
      <w:r>
        <w:rPr>
          <w:rFonts w:ascii="Calibri" w:hAnsi="Calibri"/>
          <w:sz w:val="18"/>
          <w:szCs w:val="18"/>
          <w:color w:val="64748B"/>
        </w:rPr>
        <w:t>Repository: D:\Work\Projects\virtual-ink  |  Branch: main  |  Remote push: pending network access</w:t>
      </w:r>
    </w:p>
    <w:sectPr>
      <w:pgSz w:w="12240" w:h="15840"/>
      <w:pgMar w:top="1440" w:right="1440" w:bottom="1440" w:left="1440" w:header="708" w:footer="708" w:gutter="0"/>
      <w:headerReference w:type="default" r:id="rIdHeader"/>
      <w:footerReference w:type="default" r:id="rIdFooter"/>
      <w:docGrid w:linePitch="300"/>
    </w:sectPr>
  </w:body>
</w:document>
</file>

<file path=word/footer1.xml><?xml version="1.0" encoding="utf-8"?>
<w:ftr xmlns:w="http://schemas.openxmlformats.org/wordprocessingml/2006/main" xmlns:fld="http://schemas.openxmlformats.org/wordprocessingml/2006/main">
  <w:p>
    <w:pPr>
      <w:jc w:val="right"/>
      <w:spacing w:before="0" w:after="0"/>
    </w:pPr>
    <w:r>
      <w:rPr>
        <w:rFonts w:ascii="Calibri" w:hAnsi="Calibri"/>
        <w:sz w:val="18"/>
        <w:color w:val="64748B"/>
      </w:rPr>
      <w:t>Internal working report  |  Page </w:t>
    </w:r>
    <w:fldSimple w:instr="PAGE">
      <w:r>
        <w:rPr>
          <w:sz w:val="18"/>
          <w:color w:val="64748B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0"/>
    </w:pPr>
    <w:r>
      <w:rPr>
        <w:rFonts w:ascii="Calibri" w:hAnsi="Calibri"/>
        <w:sz w:val="18"/>
        <w:color w:val="64748B"/>
      </w:rPr>
      <w:t>Virtual Ink  |  Shadow Root Security Technologies  |  Team handover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111827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rPr>
      <w:rFonts w:ascii="Calibri" w:hAnsi="Calibri"/>
      <w:sz w:val="22"/>
      <w:szCs w:val="22"/>
      <w:color w:val="111827"/>
    </w:rPr>
    <w:pPr>
      <w:spacing w:after="120" w:line="300" w:lineRule="auto"/>
    </w:pPr>
  </w:style>
  <w:style w:type="paragraph" w:styleId="Heading1">
    <w:name w:val="heading 1"/>
    <w:basedOn w:val="Normal"/>
    <w:next w:val="Normal"/>
    <w:qFormat/>
    <w:pPr>
      <w:keepNext/>
      <w:spacing w:before="360" w:after="140" w:line="300" w:lineRule="auto"/>
    </w:pPr>
    <w:rPr>
      <w:rFonts w:ascii="Calibri" w:hAnsi="Calibri"/>
      <w:b/>
      <w:sz w:val="32"/>
      <w:szCs w:val="32"/>
      <w:color w:val="173B5E"/>
    </w:rPr>
  </w:style>
  <w:style w:type="paragraph" w:styleId="Heading2">
    <w:name w:val="heading 2"/>
    <w:basedOn w:val="Normal"/>
    <w:next w:val="Normal"/>
    <w:qFormat/>
    <w:pPr>
      <w:keepNext/>
      <w:spacing w:before="260" w:after="100" w:line="300" w:lineRule="auto"/>
    </w:pPr>
    <w:rPr>
      <w:rFonts w:ascii="Calibri" w:hAnsi="Calibri"/>
      <w:b/>
      <w:sz w:val="26"/>
      <w:szCs w:val="26"/>
      <w:color w:val="173B5E"/>
    </w:rPr>
  </w:style>
  <w:style w:type="paragraph" w:styleId="Heading3">
    <w:name w:val="heading 3"/>
    <w:basedOn w:val="Normal"/>
    <w:next w:val="Normal"/>
    <w:qFormat/>
    <w:pPr>
      <w:keepNext/>
      <w:spacing w:before="180" w:after="80" w:line="300" w:lineRule="auto"/>
    </w:pPr>
    <w:rPr>
      <w:rFonts w:ascii="Calibri" w:hAnsi="Calibri"/>
      <w:b/>
      <w:sz w:val="23"/>
      <w:szCs w:val="23"/>
      <w:color w:val="1F4D78"/>
    </w:rPr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Virtual Ink project tooling</Application>
</Properties>
</file>

<file path=docProps/core.xml><?xml version="1.0" encoding="utf-8"?>
<cp:coreProperties xmlns:cp="http://schemas.openxmlformats.org/package/2006/metadata/core-properties" xmlns:dc="http://purl.org/dc/elements/1.1/">
  <dc:title>Virtual Ink Team Progress and Starting-Point Report</dc:title>
  <dc:creator>Shadow Root Security Technologies</dc:creator>
  <cp:keywords>Virtual Ink, handover, backend, Supabase, Phase 1</cp:keywords>
</cp:coreProperties>
</file>