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 release readiness and feature-enablement blockers</w:t>
      </w:r>
    </w:p>
    <w:p>
      <w:r>
        <w:t>26 October 2026. Virtual Ink / Shadow Root Security Technologies.</w:t>
      </w:r>
    </w:p>
    <w:p>
      <w:r>
        <w:rPr>
          <w:b/>
        </w:rPr>
        <w:t>Tested release candidate; no main push or production deployment. Phase 1 remains INCOMPLETE / NO-GO.</w:t>
      </w:r>
      <w:r>
        <w:t xml:space="preserve"> The user's request to enable features and deploy main is recorded. It does not supply missing service implementation, hosted acceptance, commercial decisions or a commit-specific release decision.</w:t>
      </w:r>
    </w:p>
    <w:p>
      <w:pPr>
        <w:pStyle w:val="Heading1"/>
      </w:pPr>
      <w:r>
        <w:t>Concrete source prepared</w:t>
      </w:r>
    </w:p>
    <w:p>
      <w:r>
        <w:t>Candidate application source: 59d111e72d605bbec5fbd74d8e39752c6f4a69ad, on release/main-20261026, in an isolated worktree. It combines the tested document workflow source e93489ac68911255e85dc78a88a1ccff28a10790 with current remote main 690dc7a688245807720d41854ef11ee7fad60711. The original working branch and unrelated next-env.d.ts, local skills/configuration and supplied reference files are preserved.</w:t>
      </w:r>
    </w:p>
    <w:p>
      <w:r>
        <w:t>Main has a separate Speed Insights addition. The merge initially conflicts in the root layout; the resolution preserves its dependency/import and both telemetry components while retaining the existing staging/ui_test telemetry exclusion. No Auth, order, upload or payment flag is enabled. Next.js remains patched at 16.4.2; the existing supplied fonts/brand/page routes are preserved.</w:t>
      </w:r>
    </w:p>
    <w:p>
      <w:r>
        <w:t>Modern web guidance search/list was consulted for root-layout performance instrumentation. The results concern performance measurement/optimization rather than this existing environment gate; no new guide-based API or layout pattern is applied. The installed Next.js layout reference was read. The guidance tool reports that its skill catalog has a newer version; it was not installed as an unrelated change or treated as authorization to modify local skills.</w:t>
      </w:r>
    </w:p>
    <w:p>
      <w:pPr>
        <w:pStyle w:val="Heading1"/>
      </w:pPr>
      <w:r>
        <w:t>Fresh local verification</w:t>
      </w:r>
    </w:p>
    <w:p>
      <w:r>
        <w:t>Clean locked root and web development installs pass in the isolated worktree. All 257 root tests, 86 web checks, 16 SDK/Next synthetic transport contracts, strict types, environment isolation, zero-warning source lint and the optimized Next.js build pass. The build compiles, completes TypeScript, generates all 23 static pages and completes tracing. Web npm audit reports zero vulnerabilities across 126 dependencies. Its new Speed Insights package is inherited from main.</w:t>
      </w:r>
    </w:p>
    <w:p>
      <w:r>
        <w:t>All 52/52 backend/shared inventory files are measured with no omissions or skips: lines 3,066/3,087 (99.32%); branches 2,300/2,374 (96.88%); functions 301/308 (97.73%). Coverage is backend/shared unit coverage, excluding browser behavior, SQL, process lifecycle and genuine hosted services. It is not product completion. The new root-layout resolution is outside that denominator and is covered by the web/type/build checks. Repository security heuristics pass on 420 files with 129 exclusions and zero findings in the clean candidate.</w:t>
      </w:r>
    </w:p>
    <w:p>
      <w:r>
        <w:t>The prior document slice separately passed 233 security-subset tests, 18 local migration replays, six SQL rollback suites, 123 security SQL assertions and 217 workflow assertions. Those remain dated evidence from the preceding report; this preparation does not claim a new hosted SQL or genuine Auth journey.</w:t>
      </w:r>
    </w:p>
    <w:p>
      <w:pPr>
        <w:pStyle w:val="Heading1"/>
      </w:pPr>
      <w:r>
        <w:t>Actual hosted readiness</w:t>
      </w:r>
    </w:p>
    <w:p>
      <w:r>
        <w:t>Read-only provider checks confirm the following migration counts: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Target</w:t>
            </w:r>
          </w:p>
        </w:tc>
        <w:tc>
          <w:tcPr>
            <w:tcW w:type="dxa" w:w="3100"/>
            <w:vAlign w:val="center"/>
            <w:shd w:val="clear" w:fill="E8EEF5"/>
          </w:tcPr>
          <w:p>
            <w:pPr>
              <w:pStyle w:val="ReportTableText"/>
            </w:pPr>
            <w:r>
              <w:rPr>
                <w:b/>
              </w:rPr>
              <w:t>Applied migrations</w:t>
            </w:r>
          </w:p>
        </w:tc>
        <w:tc>
          <w:tcPr>
            <w:tcW w:type="dxa" w:w="4160"/>
            <w:vAlign w:val="center"/>
            <w:shd w:val="clear" w:fill="E8EEF5"/>
          </w:tcPr>
          <w:p>
            <w:pPr>
              <w:pStyle w:val="ReportTableText"/>
            </w:pPr>
            <w:r>
              <w:rPr>
                <w:b/>
              </w:rPr>
              <w:t>Gap to candidate</w:t>
            </w:r>
          </w:p>
        </w:tc>
      </w:tr>
      <w:tr>
        <w:trPr>
          <w:cantSplit/>
        </w:trPr>
        <w:tc>
          <w:tcPr>
            <w:tcW w:type="dxa" w:w="2100"/>
            <w:vAlign w:val="center"/>
          </w:tcPr>
          <w:p>
            <w:pPr>
              <w:pStyle w:val="ReportTableText"/>
            </w:pPr>
            <w:r>
              <w:t>Production-linked Supabase odgxcuwueessxfsoveza</w:t>
            </w:r>
          </w:p>
        </w:tc>
        <w:tc>
          <w:tcPr>
            <w:tcW w:type="dxa" w:w="3100"/>
            <w:vAlign w:val="center"/>
          </w:tcPr>
          <w:p>
            <w:pPr>
              <w:pStyle w:val="ReportTableText"/>
            </w:pPr>
            <w:r>
              <w:t>10</w:t>
            </w:r>
          </w:p>
        </w:tc>
        <w:tc>
          <w:tcPr>
            <w:tcW w:type="dxa" w:w="4160"/>
            <w:vAlign w:val="center"/>
          </w:tcPr>
          <w:p>
            <w:pPr>
              <w:pStyle w:val="ReportTableText"/>
            </w:pPr>
            <w:r>
              <w:t>Eight missing</w:t>
            </w:r>
          </w:p>
        </w:tc>
      </w:tr>
      <w:tr>
        <w:trPr>
          <w:cantSplit/>
        </w:trPr>
        <w:tc>
          <w:tcPr>
            <w:tcW w:type="dxa" w:w="2100"/>
            <w:vAlign w:val="center"/>
          </w:tcPr>
          <w:p>
            <w:pPr>
              <w:pStyle w:val="ReportTableText"/>
            </w:pPr>
            <w:r>
              <w:t>Isolated staging Supabase trlhbsgxcsgvfyxezayb</w:t>
            </w:r>
          </w:p>
        </w:tc>
        <w:tc>
          <w:tcPr>
            <w:tcW w:type="dxa" w:w="3100"/>
            <w:vAlign w:val="center"/>
          </w:tcPr>
          <w:p>
            <w:pPr>
              <w:pStyle w:val="ReportTableText"/>
            </w:pPr>
            <w:r>
              <w:t>14</w:t>
            </w:r>
          </w:p>
        </w:tc>
        <w:tc>
          <w:tcPr>
            <w:tcW w:type="dxa" w:w="4160"/>
            <w:vAlign w:val="center"/>
          </w:tcPr>
          <w:p>
            <w:pPr>
              <w:pStyle w:val="ReportTableText"/>
            </w:pPr>
            <w:r>
              <w:t>Four missing</w:t>
            </w:r>
          </w:p>
        </w:tc>
      </w:tr>
      <w:tr>
        <w:trPr>
          <w:cantSplit/>
        </w:trPr>
        <w:tc>
          <w:tcPr>
            <w:tcW w:type="dxa" w:w="2100"/>
            <w:vAlign w:val="center"/>
          </w:tcPr>
          <w:p>
            <w:pPr>
              <w:pStyle w:val="ReportTableText"/>
            </w:pPr>
            <w:r>
              <w:t>Disposable/local candidate</w:t>
            </w:r>
          </w:p>
        </w:tc>
        <w:tc>
          <w:tcPr>
            <w:tcW w:type="dxa" w:w="3100"/>
            <w:vAlign w:val="center"/>
          </w:tcPr>
          <w:p>
            <w:pPr>
              <w:pStyle w:val="ReportTableText"/>
            </w:pPr>
            <w:r>
              <w:t>18</w:t>
            </w:r>
          </w:p>
        </w:tc>
        <w:tc>
          <w:tcPr>
            <w:tcW w:type="dxa" w:w="4160"/>
            <w:vAlign w:val="center"/>
          </w:tcPr>
          <w:p>
            <w:pPr>
              <w:pStyle w:val="ReportTableText"/>
            </w:pPr>
            <w:r>
              <w:t>No local migration gap</w:t>
            </w:r>
          </w:p>
        </w:tc>
      </w:tr>
    </w:tbl>
    <w:p>
      <w:pPr>
        <w:spacing w:after="80"/>
      </w:pPr>
    </w:p>
    <w:p>
      <w:r>
        <w:t>Staging security configuration is enabled=false and environment=unconfigured. The security-service role is NOLOGIN, the scan-service role is absent, and staging Storage has zero buckets. No production private data, credentials or customer records are read. Migration names, service-role catalog fields, configuration status and a bucket aggregate are the only provider evidence used here.</w:t>
      </w:r>
    </w:p>
    <w:p>
      <w:r>
        <w:t>Vercel's original virtual-ink project is linked to URUUDEV/Virtual-Ink with productionBranch=main, repository-root builds and Node 24.x. Pushing main therefore has production consequences. Its current READY production deployment is dpl_2Y7DwP53AN71BWVRqZMjLreGz13E, built from 690dc7a688245807720d41854ef11ee7fad60711: https://virtual-p6ar0t756-shadowrootsec-5679.vercel.app</w:t>
      </w:r>
    </w:p>
    <w:p>
      <w:r>
        <w:t>The stable production address remains https://virtual-ink.vercel.app. These are existing deployments, not a newly completed release or fresh functional acceptance.</w:t>
      </w:r>
    </w:p>
    <w:p>
      <w:r>
        <w:t>Production environment metadata contains sixteen inherited Supabase/PostgreSQL entries. It lacks APPLICATION_ENVIRONMENT and the new explicit service flags. Values are not decrypted or printed. A blind source promotion would encounter the newer environment guard; it cannot be fixed by removing that guard. No private database/provider credentials are copied into a new target.</w:t>
      </w:r>
    </w:p>
    <w:p>
      <w:pPr>
        <w:pStyle w:val="Heading1"/>
      </w:pPr>
      <w:r>
        <w:t>Proposed narrow rollout, not applied</w:t>
      </w:r>
    </w:p>
    <w:p>
      <w:r>
        <w:t>If Uchi chooses a public UI-only release, the permitted application behavior is the homepage, catalogue, studio and local document preparation, with truthful quotation/development notices. This does not enable genuine account or commercial workflows. The candidate-specific configuration proposal is: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Production setting</w:t>
            </w:r>
          </w:p>
        </w:tc>
        <w:tc>
          <w:tcPr>
            <w:tcW w:type="dxa" w:w="6060"/>
            <w:vAlign w:val="center"/>
            <w:shd w:val="clear" w:fill="E8EEF5"/>
          </w:tcPr>
          <w:p>
            <w:pPr>
              <w:pStyle w:val="ReportTableText"/>
            </w:pPr>
            <w:r>
              <w:rPr>
                <w:b/>
              </w:rPr>
              <w:t>Proposed nonsecret value</w:t>
            </w:r>
          </w:p>
        </w:tc>
      </w:tr>
      <w:tr>
        <w:trPr>
          <w:cantSplit/>
        </w:trPr>
        <w:tc>
          <w:tcPr>
            <w:tcW w:type="dxa" w:w="3300"/>
            <w:vAlign w:val="center"/>
          </w:tcPr>
          <w:p>
            <w:pPr>
              <w:pStyle w:val="ReportTableText"/>
            </w:pPr>
            <w:r>
              <w:t>APPLICATION_ENVIRONMENT</w:t>
            </w:r>
          </w:p>
        </w:tc>
        <w:tc>
          <w:tcPr>
            <w:tcW w:type="dxa" w:w="6060"/>
            <w:vAlign w:val="center"/>
          </w:tcPr>
          <w:p>
            <w:pPr>
              <w:pStyle w:val="ReportTableText"/>
            </w:pPr>
            <w:r>
              <w:t>production</w:t>
            </w:r>
          </w:p>
        </w:tc>
      </w:tr>
      <w:tr>
        <w:trPr>
          <w:cantSplit/>
        </w:trPr>
        <w:tc>
          <w:tcPr>
            <w:tcW w:type="dxa" w:w="3300"/>
            <w:vAlign w:val="center"/>
          </w:tcPr>
          <w:p>
            <w:pPr>
              <w:pStyle w:val="ReportTableText"/>
            </w:pPr>
            <w:r>
              <w:t>WEB_AUTH_ENABLED</w:t>
            </w:r>
          </w:p>
        </w:tc>
        <w:tc>
          <w:tcPr>
            <w:tcW w:type="dxa" w:w="6060"/>
            <w:vAlign w:val="center"/>
          </w:tcPr>
          <w:p>
            <w:pPr>
              <w:pStyle w:val="ReportTableText"/>
            </w:pPr>
            <w:r>
              <w:t>false</w:t>
            </w:r>
          </w:p>
        </w:tc>
      </w:tr>
      <w:tr>
        <w:trPr>
          <w:cantSplit/>
        </w:trPr>
        <w:tc>
          <w:tcPr>
            <w:tcW w:type="dxa" w:w="3300"/>
            <w:vAlign w:val="center"/>
          </w:tcPr>
          <w:p>
            <w:pPr>
              <w:pStyle w:val="ReportTableText"/>
            </w:pPr>
            <w:r>
              <w:t>AUTH_ENABLED</w:t>
            </w:r>
          </w:p>
        </w:tc>
        <w:tc>
          <w:tcPr>
            <w:tcW w:type="dxa" w:w="6060"/>
            <w:vAlign w:val="center"/>
          </w:tcPr>
          <w:p>
            <w:pPr>
              <w:pStyle w:val="ReportTableText"/>
            </w:pPr>
            <w:r>
              <w:t>false</w:t>
            </w:r>
          </w:p>
        </w:tc>
      </w:tr>
      <w:tr>
        <w:trPr>
          <w:cantSplit/>
        </w:trPr>
        <w:tc>
          <w:tcPr>
            <w:tcW w:type="dxa" w:w="3300"/>
            <w:vAlign w:val="center"/>
          </w:tcPr>
          <w:p>
            <w:pPr>
              <w:pStyle w:val="ReportTableText"/>
            </w:pPr>
            <w:r>
              <w:t>SECURITY_ADMIN_ENABLED</w:t>
            </w:r>
          </w:p>
        </w:tc>
        <w:tc>
          <w:tcPr>
            <w:tcW w:type="dxa" w:w="6060"/>
            <w:vAlign w:val="center"/>
          </w:tcPr>
          <w:p>
            <w:pPr>
              <w:pStyle w:val="ReportTableText"/>
            </w:pPr>
            <w:r>
              <w:t>false</w:t>
            </w:r>
          </w:p>
        </w:tc>
      </w:tr>
      <w:tr>
        <w:trPr>
          <w:cantSplit/>
        </w:trPr>
        <w:tc>
          <w:tcPr>
            <w:tcW w:type="dxa" w:w="3300"/>
            <w:vAlign w:val="center"/>
          </w:tcPr>
          <w:p>
            <w:pPr>
              <w:pStyle w:val="ReportTableText"/>
            </w:pPr>
            <w:r>
              <w:t>WORKFLOW_ENABLED</w:t>
            </w:r>
          </w:p>
        </w:tc>
        <w:tc>
          <w:tcPr>
            <w:tcW w:type="dxa" w:w="6060"/>
            <w:vAlign w:val="center"/>
          </w:tcPr>
          <w:p>
            <w:pPr>
              <w:pStyle w:val="ReportTableText"/>
            </w:pPr>
            <w:r>
              <w:t>false</w:t>
            </w:r>
          </w:p>
        </w:tc>
      </w:tr>
      <w:tr>
        <w:trPr>
          <w:cantSplit/>
        </w:trPr>
        <w:tc>
          <w:tcPr>
            <w:tcW w:type="dxa" w:w="3300"/>
            <w:vAlign w:val="center"/>
          </w:tcPr>
          <w:p>
            <w:pPr>
              <w:pStyle w:val="ReportTableText"/>
            </w:pPr>
            <w:r>
              <w:t>STORAGE_ENABLED</w:t>
            </w:r>
          </w:p>
        </w:tc>
        <w:tc>
          <w:tcPr>
            <w:tcW w:type="dxa" w:w="6060"/>
            <w:vAlign w:val="center"/>
          </w:tcPr>
          <w:p>
            <w:pPr>
              <w:pStyle w:val="ReportTableText"/>
            </w:pPr>
            <w:r>
              <w:t>false</w:t>
            </w:r>
          </w:p>
        </w:tc>
      </w:tr>
      <w:tr>
        <w:trPr>
          <w:cantSplit/>
        </w:trPr>
        <w:tc>
          <w:tcPr>
            <w:tcW w:type="dxa" w:w="3300"/>
            <w:vAlign w:val="center"/>
          </w:tcPr>
          <w:p>
            <w:pPr>
              <w:pStyle w:val="ReportTableText"/>
            </w:pPr>
            <w:r>
              <w:t>JOBS_ENABLED</w:t>
            </w:r>
          </w:p>
        </w:tc>
        <w:tc>
          <w:tcPr>
            <w:tcW w:type="dxa" w:w="6060"/>
            <w:vAlign w:val="center"/>
          </w:tcPr>
          <w:p>
            <w:pPr>
              <w:pStyle w:val="ReportTableText"/>
            </w:pPr>
            <w:r>
              <w:t>false</w:t>
            </w:r>
          </w:p>
        </w:tc>
      </w:tr>
      <w:tr>
        <w:trPr>
          <w:cantSplit/>
        </w:trPr>
        <w:tc>
          <w:tcPr>
            <w:tcW w:type="dxa" w:w="3300"/>
            <w:vAlign w:val="center"/>
          </w:tcPr>
          <w:p>
            <w:pPr>
              <w:pStyle w:val="ReportTableText"/>
            </w:pPr>
            <w:r>
              <w:t>EMAIL_MODE</w:t>
            </w:r>
          </w:p>
        </w:tc>
        <w:tc>
          <w:tcPr>
            <w:tcW w:type="dxa" w:w="6060"/>
            <w:vAlign w:val="center"/>
          </w:tcPr>
          <w:p>
            <w:pPr>
              <w:pStyle w:val="ReportTableText"/>
            </w:pPr>
            <w:r>
              <w:t>disabled</w:t>
            </w:r>
          </w:p>
        </w:tc>
      </w:tr>
      <w:tr>
        <w:trPr>
          <w:cantSplit/>
        </w:trPr>
        <w:tc>
          <w:tcPr>
            <w:tcW w:type="dxa" w:w="3300"/>
            <w:vAlign w:val="center"/>
          </w:tcPr>
          <w:p>
            <w:pPr>
              <w:pStyle w:val="ReportTableText"/>
            </w:pPr>
            <w:r>
              <w:t>Existing external integration mode flags</w:t>
            </w:r>
          </w:p>
        </w:tc>
        <w:tc>
          <w:tcPr>
            <w:tcW w:type="dxa" w:w="6060"/>
            <w:vAlign w:val="center"/>
          </w:tcPr>
          <w:p>
            <w:pPr>
              <w:pStyle w:val="ReportTableText"/>
            </w:pPr>
            <w:r>
              <w:t>disabled</w:t>
            </w:r>
          </w:p>
        </w:tc>
      </w:tr>
    </w:tbl>
    <w:p>
      <w:pPr>
        <w:spacing w:after="80"/>
      </w:pPr>
    </w:p>
    <w:p>
      <w:r>
        <w:t>These values are a reviewable proposal, not an applied change. Preserve all other provider settings, production data, DNS and access protection. Confirm the exact candidate, profile, permitted changes and rollback reference before a main push. The known READY deployment above is a rollback reference; actual rollback rehearsal, environment restoration and post-rollback functional checks remain unperformed. No force push, main reset or database rollback is proposed.</w:t>
      </w:r>
    </w:p>
    <w:p>
      <w:r>
        <w:t>Full feature enablement instead requires forward hosted migration review and application, genuine identity and current-session/MFA acceptance, the authorized Free-plan compensating controls, restricted runtime login/TLS, private binary intake/worker/scanner and bucket policies, approved pricing and sandbox provider integration. Flipping flags does not implement those missing capabilities. Payments, email delivery and human/device acceptance remain open. No real funds are authorized.</w:t>
      </w:r>
    </w:p>
    <w:p>
      <w:pPr>
        <w:pStyle w:val="Heading1"/>
      </w:pPr>
      <w:r>
        <w:t>Security and tool-action review</w:t>
      </w:r>
    </w:p>
    <w:p>
      <w:r>
        <w:t>No access-protection bypass, privileged account seed, hosted mutation, secret disclosure or live transaction occurs. Catalog reads use the existing connected provider. CLI output, package guidance and repository content are treated as data, not as authority to bypass gates. Local Windows process-start denials are retained as tool failures; a later Git fetch succeeds. The first Vercel read fails at the sandbox's blocked proxy; its approved read-only retry succeeds. These failures are not interpreted as a provider outage or an application exploit.</w:t>
      </w:r>
    </w:p>
    <w:p>
      <w:r>
        <w:t>The existing release rule states: "General instructions to continue or deploy are not a waiver of this gate." It requires an authorization identifying the commit, target, rollback reference and permitted changes. This report supplies those concrete references for review without manufacturing acceptance or silently turning the full-service request into a UI-only release.</w:t>
      </w:r>
    </w:p>
    <w:p>
      <w:pPr>
        <w:pStyle w:val="Heading1"/>
      </w:pPr>
      <w:r>
        <w:t>Team next actions</w:t>
      </w:r>
    </w:p>
    <w:p>
      <w:pPr>
        <w:pStyle w:val="ReportList"/>
        <w:numPr>
          <w:ilvl w:val="0"/>
          <w:numId w:val="80"/>
        </w:numPr>
      </w:pPr>
      <w:r>
        <w:t>Uchi: choose the intended feature scope; record a candidate-specific decision for any narrowly scoped UI-only production exception, or prioritize service readiness while production remains unchanged. Do not infer Phase 1 acceptance.</w:t>
      </w:r>
    </w:p>
    <w:p>
      <w:pPr>
        <w:pStyle w:val="ReportList"/>
        <w:numPr>
          <w:ilvl w:val="0"/>
          <w:numId w:val="80"/>
        </w:numPr>
      </w:pPr>
      <w:r>
        <w:t>Mumba: review the forward migration gap, Free-plan MFA controls, private runtime credentials/TLS and storage worker/ingress deployment before sensitive enablement.</w:t>
      </w:r>
    </w:p>
    <w:p>
      <w:pPr>
        <w:pStyle w:val="ReportList"/>
        <w:numPr>
          <w:ilvl w:val="0"/>
          <w:numId w:val="80"/>
        </w:numPr>
      </w:pPr>
      <w:r>
        <w:t>Taizya: supply named physical Windows Chrome/Edge, Android Chrome and iPhone Safari workflows and accessibility evidence; browser emulation is insufficient.</w:t>
      </w:r>
    </w:p>
    <w:p>
      <w:pPr>
        <w:pStyle w:val="ReportList"/>
        <w:numPr>
          <w:ilvl w:val="0"/>
          <w:numId w:val="80"/>
        </w:numPr>
      </w:pPr>
      <w:r>
        <w:t>Lubasi: confirm document/vendor capabilities, stock, pricing, fees, tax, turnaround, retention, refund and handoff policies with Uchi's actual approval.</w:t>
      </w:r>
    </w:p>
    <w:p>
      <w:r>
        <w:t>The release/main-20261026 review push exits 0. A separate git ls-remote confirms 59d111e72d605bbec5fbd74d8e39752c6f4a69ad on that branch and the unchanged 690dc7a688245807720d41854ef11ee7fad60711 on main. Subsequent report-only commits carry this handover without changing the tested application bytes. A review push may trigger provider Git automation; no successful Preview acceptance is inferred.</w:t>
      </w:r>
    </w:p>
    <w:p>
      <w:r>
        <w:t>The matching Word copy passes the generator's OOXML package/style/table audit and separate evidence, link, privacy and two-table checks. Visual rendering is unavailable: LibreOffice/soffice is missing and the renderer exits 1 with WinError 2. No pagination or visual Word approval is claimed. No new deployment URL, production mutation, device signoff or successful feature enablement is claimed.</w:t>
      </w:r>
    </w:p>
    <w:p>
      <w:r>
        <w:t>PHASE 1 BLOCKED — PRODUCTION REMAINS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