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Hotprints-first printing rollout and manual-payment scope</w:t>
      </w:r>
    </w:p>
    <w:p>
      <w:r>
        <w:t>28 October 2026. Virtual Ink / Shadow Root Security Technologies.</w:t>
      </w:r>
    </w:p>
    <w:p>
      <w:r>
        <w:rPr>
          <w:b/>
        </w:rPr>
        <w:t>Product direction recorded; pilot is not live. Phase 1 remains INCOMPLETE.</w:t>
      </w:r>
      <w:r>
        <w:t xml:space="preserve"> Uchi directs the initial rollout toward school-serving individual vendors and outside print shops, starting with Hotprints for printing/design. Vendors set service prices and agree to Virtual Ink's commission and terms. Payments start manually while a working gateway is developed.</w:t>
      </w:r>
    </w:p>
    <w:p>
      <w:pPr>
        <w:pStyle w:val="Heading1"/>
      </w:pPr>
      <w:r>
        <w:t>What changed</w:t>
      </w:r>
    </w:p>
    <w:p>
      <w:r>
        <w:t>[The pilot scope](../hotprints-manual-pilot.md) defines the first operational journey, commercial controls, remaining decisions and ordered implementation slices. Hotprints is user-supplied; no contact, price, account, acceptance or operating evidence is invented. Individual vendors and shops reuse scoped vendor ownership rather than acquiring new platform authority.</w:t>
      </w:r>
    </w:p>
    <w:p>
      <w:r>
        <w:t>The current release gate now supports manual-only payment acceptance. A gateway and signed webhooks are deferred while gateway integration stays disabled. Manual receipt verification, reconciliation, duplicate/retry controls, separate commission/vendor settlement, authorization and audit remain required. Gateway webhook/signature/replay checks apply before later gateway enablement. No checklist item is marked passed, no existing failed check is relabelled, and the security, private-file, physical-device, Vercel, rollback and release-authorization gates remain in force.</w:t>
      </w:r>
    </w:p>
    <w:p>
      <w:r>
        <w:t>The closure checklist, role handover, staging authority note, order workflow setup, task board, open questions and README point to the updated operating scope. Historical reports remain unchanged. The existing protected static public UI candidate is separate from a working authenticated transaction pilot; its pending hosting verification is not resolved by this scope decision.</w:t>
      </w:r>
    </w:p>
    <w:p>
      <w:pPr>
        <w:pStyle w:val="Heading1"/>
      </w:pPr>
      <w:r>
        <w:t>Existing implementation and missing work</w:t>
      </w:r>
    </w:p>
    <w:p>
      <w:r>
        <w:t>Source inspection finds assigned-vendor quote proposals/review/acceptance and a restricted payment.confirm command. SQL owns the accepted amount/currency and state transitions; manual confirmation requires current privileged authorization, MFA and an evidence reference. These are reusable local foundations, not proof of bank receipt, complete manual reconciliation or hosted operation.</w:t>
      </w:r>
    </w:p>
    <w:p>
      <w:r>
        <w:t>Vendor-managed rate cards, accepted commission/terms versions, commission calculation and separate payment/settlement balances are not supplied by those commands. They still require implementation. The plan requires server-owned totals, immutable accepted order economics, current scoped vendor access and durable acceptance; missing policy must not silently become zero commission. No pricing/payment authority is added to a browser or public static build.</w:t>
      </w:r>
    </w:p>
    <w:p>
      <w:r>
        <w:t>The next commercial slice is durable vendor pricing and agreement acceptance, followed by manual collection/reconciliation and one complete Hotprints order journey. Hosted identity/current MFA and private-file prerequisites remain on the critical path. Invitations to additional vendors follow the first accepted journey. No launch date, live order intake or sensitive enablement is claimed.</w:t>
      </w:r>
    </w:p>
    <w:p>
      <w:pPr>
        <w:pStyle w:val="Heading1"/>
      </w:pPr>
      <w:r>
        <w:t>Open product decisions</w:t>
      </w:r>
    </w:p>
    <w:p>
      <w:r>
        <w:t>Uchi must choose the commission amount/type, calculation basis/rounding and whether it is deducted from vendor proceeds or added to the customer total. The customer payment recipient must be chosen between Virtual Ink and Hotprints, with approved methods, reviewer, commission collection and vendor settlement rules. These questions were raised while independent scope work continued.</w:t>
      </w:r>
    </w:p>
    <w:p>
      <w:r>
        <w:t>Uchi/Lubasi and Hotprints still confirm the actual services, rate card, capability, turnaround, handoff, refund/reprint, retention and versioned commercial terms. Recording the desired consent flow is not the vendor's acceptance or legal review. Private settlement/contact/verification details must stay out of Git and reports.</w:t>
      </w:r>
    </w:p>
    <w:p>
      <w:pPr>
        <w:pStyle w:val="Heading1"/>
      </w:pPr>
      <w:r>
        <w:t>Verification and scoped security review</w:t>
      </w:r>
    </w:p>
    <w:p>
      <w:r>
        <w:t>This is a documentation and acceptance-scope change. No application source, dependency, database migration, service flag, Auth user, storage policy, gateway, DNS or hosted deployment is changed. Full application, SQL/browser and genuine hosted suites are not rerun; no new coverage percentage is claimed. The previous 52-file backend/shared unit evidence remains dated in the preceding report and does not cover these product decisions or complete the pilot.</w:t>
      </w:r>
    </w:p>
    <w:p>
      <w:r>
        <w:t>Review focuses on the changed payment trust boundary. A customer or vendor who can submit a payment claim must not turn it into authoritative paid state. The plan requires actual receipt reconciliation by a scoped current-MFA reviewer, duplicate/idempotency controls and atomic audit. Commission cannot be silently waived by missing settings or vendor-edited platform fees. Existing accepted orders retain their price/fee/terms versions when future prices change. These are required implementation/acceptance controls; new attack reproductions or implemented fixes are not claimed by this document-only step.</w:t>
      </w:r>
    </w:p>
    <w:p>
      <w:r>
        <w:t>Tools only read existing source and edit the relevant working-tree documents. Their output is treated as data, with no secret output, customer files, live funds, messages to vendors or simulated human approval. Windows process-start failures are retried through approved read-only execution and do not establish a defect in the application. Content/link/privacy, repository and Word checks are recorded in the delivery evidence after execution.</w:t>
      </w:r>
    </w:p>
    <w:p>
      <w:pPr>
        <w:pStyle w:val="Heading1"/>
      </w:pPr>
      <w:r>
        <w:t>Team next actions</w:t>
      </w:r>
    </w:p>
    <w:p>
      <w:pPr>
        <w:pStyle w:val="ReportList"/>
        <w:numPr>
          <w:ilvl w:val="0"/>
          <w:numId w:val="80"/>
        </w:numPr>
      </w:pPr>
      <w:r>
        <w:t>Uchi: decide commission structure and payment recipient; approve the actual operating/terms versions and the eventual evidence-backed pilot release.</w:t>
      </w:r>
    </w:p>
    <w:p>
      <w:pPr>
        <w:pStyle w:val="ReportList"/>
        <w:numPr>
          <w:ilvl w:val="0"/>
          <w:numId w:val="80"/>
        </w:numPr>
      </w:pPr>
      <w:r>
        <w:t>Mumba with Uchi: implement durable vendor pricing/acceptance as the next reviewed slice; retain current authorization, immutable quotes and audit rules. Continue isolated hosted identity/MFA and private transport acceptance.</w:t>
      </w:r>
    </w:p>
    <w:p>
      <w:pPr>
        <w:pStyle w:val="ReportList"/>
        <w:numPr>
          <w:ilvl w:val="0"/>
          <w:numId w:val="80"/>
        </w:numPr>
      </w:pPr>
      <w:r>
        <w:t>Taizya: specify individual-vendor/shop onboarding, price controls, fee/terms review, complete customer quote and clear unverified/manual-payment states.</w:t>
      </w:r>
    </w:p>
    <w:p>
      <w:pPr>
        <w:pStyle w:val="ReportList"/>
        <w:numPr>
          <w:ilvl w:val="0"/>
          <w:numId w:val="80"/>
        </w:numPr>
      </w:pPr>
      <w:r>
        <w:t>Lubasi: agree actual Hotprints capabilities, prices, turnaround, handoff, receipt-review ownership, settlement, refund/reprint and retention operations.</w:t>
      </w:r>
    </w:p>
    <w:p>
      <w:r>
        <w:t>The rollout direction is confirmed by Uchi's message. Actual vendor agreement, commercial values, human testing, product acceptance and live release remain open.</w:t>
      </w:r>
    </w:p>
    <w:p>
      <w:pPr>
        <w:pStyle w:val="Heading1"/>
      </w:pPr>
      <w:r>
        <w:t>Delivery evidence</w:t>
      </w:r>
    </w:p>
    <w:p>
      <w:r>
        <w:t>New document links, sensitive-data heuristics, retained unchecked release gates and Word evidence-content checks pass. Repository heuristics pass on 500 files with 138 exclusions and zero findings; whitespace checks pass. These are scoped document/repository checks, not application, financial or hosted acceptance.</w:t>
      </w:r>
    </w:p>
    <w:p>
      <w:r>
        <w:t>The matching Word document passes the existing generator's OOXML/package/style/ table structural audit. Rendering is attempted and exits 1 with WinError 2: LibreOffice is missing. Pagination and visual Word QA are not claimed. The existing compact_reference_guide preset and memo_masthead conventions are preserved. This handover is prepared from source 6bc43d8 on the existing feature/phase1-staging-readiness review branch; no deployment is performed.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