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Neon private staging buckets and storage verification</w:t>
      </w:r>
    </w:p>
    <w:p>
      <w:r>
        <w:t>28 October 2026. Virtual Ink / Shadow Root Security Technologies.</w:t>
      </w:r>
    </w:p>
    <w:p>
      <w:r>
        <w:rPr>
          <w:b/>
        </w:rPr>
        <w:t>Six private Neon buckets are provisioned, and synthetic hosted storage checks pass. Application uploads and full-service Vercel acceptance remain open. Phase 1 remains INCOMPLETE / NO-GO.</w:t>
      </w:r>
      <w:r>
        <w:t xml:space="preserve"> Uchi explicitly authorized Neon for buckets. This work uses synthetic files only and does not enable real customer uploads.</w:t>
      </w:r>
    </w:p>
    <w:p>
      <w:pPr>
        <w:pStyle w:val="Heading1"/>
      </w:pPr>
      <w:r>
        <w:t>Delivered storage and environment boundary</w:t>
      </w:r>
    </w:p>
    <w:p>
      <w:r>
        <w:t>The connected Neon organization is on the Free plan. Its only existing project belonged to another application, so a separate project, virtual-ink-files-staging (</w:t>
      </w:r>
      <w:r>
        <w:rPr>
          <w:rFonts w:ascii="Consolas" w:hAnsi="Consolas"/>
          <w:sz w:val="20"/>
        </w:rPr>
        <w:t>weathered-wave-98734994</w:t>
      </w:r>
      <w:r>
        <w:t>), was created in the supported aws-eu-central-1 region. No paid upgrade was made. The new storage branch, staging-files (</w:t>
      </w:r>
      <w:r>
        <w:rPr>
          <w:rFonts w:ascii="Consolas" w:hAnsi="Consolas"/>
          <w:sz w:val="20"/>
        </w:rPr>
        <w:t>br-bitter-tooth-ba1x372f</w:t>
      </w:r>
      <w:r>
        <w:t>), has no database compute. Its parent, main (</w:t>
      </w:r>
      <w:r>
        <w:rPr>
          <w:rFonts w:ascii="Consolas" w:hAnsi="Consolas"/>
          <w:sz w:val="20"/>
        </w:rPr>
        <w:t>br-autumn-wind-banu9azt</w:t>
      </w:r>
      <w:r>
        <w:t>), remains without buckets. The new project includes the provider's empty database foundation; no application schema or data is moved there.</w:t>
      </w:r>
    </w:p>
    <w:p>
      <w:r>
        <w:t>The six buckets are private: quarantine, customer originals, proofs, approved production files, production evidence and dispute evidence. The exact mapping and safe project/branch identifiers are in ops/neon-storage.json. No public-read bucket, customer evidence, browser credential or signed provider URL is created.</w:t>
      </w:r>
    </w:p>
    <w:p>
      <w:r>
        <w:t>The storage endpoint is: https://br-bitter-tooth-ba1x372f.storage.c-8.eu-central-1.aws.neon.tech/</w:t>
      </w:r>
    </w:p>
    <w:p>
      <w:r>
        <w:t>This is an S3 endpoint requiring authorized requests, not an application website. Supabase remains the existing database and Auth provider. Its workflow/authority, scan and audit records are separate from Neon's file bytes. Neon branching does not synchronize the separate Supabase database. Neither existing Supabase target, the unrelated Neon project, main application branch nor production is changed.</w:t>
      </w:r>
    </w:p>
    <w:p>
      <w:r>
        <w:t>The existing private S3 worker adapter operates against Neon without a provider SDK, new runtime dependency or weakened file contract. It retains path-style SigV4, UUID keys, write-if-absent, conditional reads, bounded bodies and SHA-256 verification. The new operator setup and acceptance scripts do not load the root .env or start an HTTP service. They preserve all application service flags. [Setup, commands and limits](../neon-private-storage.md).</w:t>
      </w:r>
    </w:p>
    <w:p>
      <w:pPr>
        <w:pStyle w:val="Heading1"/>
      </w:pPr>
      <w:r>
        <w:t>Credentials and scoped security findings</w:t>
      </w:r>
    </w:p>
    <w:p>
      <w:r>
        <w:t>The default storage environment export initially supplied a credential anchored to the parent branch. An operator reusing it would permit the private worker to access that parent and its descendants. The actual parent is empty; no private customer data exposure is reproduced. This is a configuration/isolation finding, not a claim that Neon's documented credential inheritance is a provider flaw.</w:t>
      </w:r>
    </w:p>
    <w:p>
      <w:r>
        <w:t>The fix uses named credentials anchored to staging itself. The worker has only explicit storage:read and storage:write scopes; the verification reader has only storage:read. Setup and the acceptance probe check live CLI credential metadata, the exact branch endpoint and the six-bucket binding. Parent credentials, excess capabilities and foreign endpoints are rejected. The endpoint export contains metadata only, and the unused task-created write-only credential is revoked. Credential values and creation responses remain exclusively under ignored .private files, outside web/Vercel environments, reports and Git.</w:t>
      </w:r>
    </w:p>
    <w:p>
      <w:r>
        <w:t>A write-only staging credential accepted PUT but returned 403 on GET. Neon's documentation describes write as including reads; the tested worker therefore uses both explicit scopes. No permission check was removed. Invalid signatures, anonymous reads and a reader attempting a write remain denied. A staging worker credential is denied on the parent branch. These are genuine hosted responses.</w:t>
      </w:r>
    </w:p>
    <w:p>
      <w:r>
        <w:t>The remaining credential blast radius is the branch and its descendants, rather than individual buckets or vendors. Worker isolation, controlled operator access, rotation and environment binding remain necessary. A stolen worker credential is not contained by the application's tenant checks. No per-bucket IAM or native object-lock guarantee is invented.</w:t>
      </w:r>
    </w:p>
    <w:p>
      <w:pPr>
        <w:pStyle w:val="Heading1"/>
      </w:pPr>
      <w:r>
        <w:t>Verification results and exact scope</w:t>
      </w:r>
    </w:p>
    <w:p>
      <w:r>
        <w:t>The successful hosted probe passes all 60 checks with zero failures. It includes the binding/private-bucket catalog check; all five file purposes through private quarantine, byte-for-byte readback, 412 overwrite and stale-ETag denials, hash-verified promotion and approved readback; read-only credential reads; anonymous quarantine/approved GET denials; read-only write denial; invalid signature denial; parent-branch denial; and exact synthetic-object cleanup.</w:t>
      </w:r>
    </w:p>
    <w:p>
      <w:r>
        <w:t>This proves storage operations with synthetic PDF bytes through the existing adapter. It does not prove that those bytes are a valid customer document, have passed a real malware scanner, belong to an authenticated application user or have committed a workflow/audit transaction. No real customer/vendor file or account is used. Private UUID fixture receipts are retained before writes and cleanup addresses only those exact generated objects; no recursive delete runs.</w:t>
      </w:r>
    </w:p>
    <w:p>
      <w:r>
        <w:t>Five controlled local configuration checks pass: inherited parent credential, unneeded capability, foreign endpoint and ambient secret export are rejected, and valid setup is restored. Each denial preserves the private worker outputs. The operator files are restored after the checks; no foreign endpoint is called. The first harness attempt could not start its child process under the sandbox; the authorized rerun passes all five cases.</w:t>
      </w:r>
    </w:p>
    <w:p>
      <w:r>
        <w:t>A fresh locked root development install passes: 169 installed packages and 170 audited dependencies, zero advisory findings. Source lint passes. All 261 root tests pass with no failures/skips in the coverage run. All 53/53 backend/shared inventory files are measured with no omissions: lines 3,145/3,166 (99.34%), branches 2,381/2,455 (96.99%), functions 310/317 (97.79%). These aggregate metrics exceed 95%; individual files may be lower. The new operator scripts, hosted S3, SQL, process lifecycle, browser/device checks and genuine application integrations are outside that backend/shared unit denominator.</w:t>
      </w:r>
    </w:p>
    <w:p>
      <w:r>
        <w:t>The final separate security run passes all 237 checks with zero failures/skips; the runtime gate passes on Node 24.22.1. An earlier separate security run failed four loopback HTTP tests with Node Fetch's bad-port error before HTTP. The full coverage run had passed; a separate security rerun passes. The original allocated ports were not recorded, so their precise cause is not established and no application code fix or fabricated reproduction is claimed. Both outcomes remain part of the verification evidence. No test assertion or security rule is relaxed.</w:t>
      </w:r>
    </w:p>
    <w:p>
      <w:r>
        <w:t>Earlier storage attempts are also retained: the first had 35/60 passing checks, with incomplete transport/configuration outcomes; the explicit write-only worker run had 35/60 passing checks and read denials; the corrected read/write run passed 59/60, with the remaining parent denial interrupted by a ten-second transport timeout. A subsequent complete run passes 60/60. The timeout was not counted as a successful denial. Provider connectivity remains an operational consideration, not evidence that an unavailable response released file data. After adding durable per-run fixture journals, a final repeat passed 59/60: the source overwrite check timed out after ten seconds instead of receiving an HTTP response. All eleven cleanup checks passed in that repeat. This failed attempt is retained separately; no timeout is classified as a 412 rejection.</w:t>
      </w:r>
    </w:p>
    <w:p>
      <w:r>
        <w:t>One 78-byte synthetic production-evidence object remained from an early interrupted run. Its original fixture journal had been overwritten before per-run journaling was added. Reconciliation read that exact UUID key, verified its expected ETag, stored hash and byte-for-byte synthetic payload, recorded a private receipt and deleted only that object. It did not authorize deletion from a prefix or an unverified inventory. Future runs retain a journal per generated order as well as the latest receipt, recording cleanup completion separately from test success.</w:t>
      </w:r>
    </w:p>
    <w:p>
      <w:r>
        <w:t>The final complete run at 13:36:09 UTC passes all 60 checks with zero failures, including eleven exact-object cleanup checks. A subsequent fresh, non-truncated inventory shows zero objects in all six buckets and zero parent buckets. The unused write-only credential remains in provider history with a revocation timestamp; it is not an active worker credential. The repository security heuristics pass with 516 files scanned, 140 skipped and zero findings. That heuristic count is separate from the complete 53-file unit coverage inventory.</w:t>
      </w:r>
    </w:p>
    <w:p>
      <w:r>
        <w:t>The official [Node October security fixes](https://nodejs.org/en/blog/vulnerability/october-2026-security-releases) and [Next.js October fixes](https://nextjs.org/blog/nextjs-security-update-october-14-2026) were reviewed. The tested runtime remains 24.22.1; the application remains on the existing patched Next.js 16.4.2. No app dependency is added or updated. This scoped application/storage review is not a provider, OS or workstation pentest.</w:t>
      </w:r>
    </w:p>
    <w:p>
      <w:pPr>
        <w:pStyle w:val="Heading1"/>
      </w:pPr>
      <w:r>
        <w:t>Hosting and acceptance limits</w:t>
      </w:r>
    </w:p>
    <w:p>
      <w:r>
        <w:t>Neon itself hosts these private buckets. No new Vercel deployment, credential binding, public promotion or sensitive-service enablement is performed. The prior protected UI-only Preview remains the historical application reference: https://virtual-ink-ui-test-jef2guxz7-shadowrootsec-5679.vercel.app</w:t>
      </w:r>
    </w:p>
    <w:p>
      <w:r>
        <w:t>Its previously recorded source is ebf3d5461421f9d21b3fc1457299d13e4e3f1c0d; that deployment has disabled services and does not run this storage integration. Its earlier READY result is not transferred to the new operator scripts or a full-service pilot. No new Vercel build, browser, physical-device, SQL migration, genuine Auth/MFA or human acceptance is claimed by this slice.</w:t>
      </w:r>
    </w:p>
    <w:p>
      <w:r>
        <w:t>Application enablement still requires the reviewed pending database migrations, the accepted Free-plan MFA compensating path, restricted private runtime/TLS, authorized ingress and queue, deployed private worker/scanner, current-role/order file checks, audit/outage acceptance and genuine hosted customer/vendor journeys. Commercial agreement, manual receipt/commission reconciliation and release/device gates remain open. Buckets alone do not close any of those requirements.</w:t>
      </w:r>
    </w:p>
    <w:p>
      <w:r>
        <w:t>Neon stores versioning/lifecycle configuration without enforcing those features. The application retains its own immutable keys and verified hashes; automatic retention is not supplied. Uchi/Lubasi must approve retention and capacity, with an audited purge process before real files. The documented Free allowance is 5 GB of object storage per project; future consumption and plan choices need review. [Provider limits](https://neon.com/docs/storage/overview), [S3 limitations](https://neon.com/docs/storage/s3-compatibility), [credential scope/inheritance](https://neon.com/docs/storage/authentication), [pricing](https://neon.com/pricing).</w:t>
      </w:r>
    </w:p>
    <w:p>
      <w:pPr>
        <w:pStyle w:val="Heading1"/>
      </w:pPr>
      <w:r>
        <w:t>Team next actions</w:t>
      </w:r>
    </w:p>
    <w:p>
      <w:pPr>
        <w:pStyle w:val="ReportList"/>
        <w:numPr>
          <w:ilvl w:val="0"/>
          <w:numId w:val="80"/>
        </w:numPr>
      </w:pPr>
      <w:r>
        <w:t>Uchi: retain Phase 1 NO-GO; approve pilot file retention, capacity thresholds, private worker operating ownership and the actual commercial agreement.</w:t>
      </w:r>
    </w:p>
    <w:p>
      <w:pPr>
        <w:pStyle w:val="ReportList"/>
        <w:numPr>
          <w:ilvl w:val="0"/>
          <w:numId w:val="80"/>
        </w:numPr>
      </w:pPr>
      <w:r>
        <w:t>Mumba with Uchi: deploy authorized ingress/worker/scanning with these staging bindings, complete identity/MFA/database prerequisites and real audited file journeys, then record the secure full-service Vercel acceptance evidence.</w:t>
      </w:r>
    </w:p>
    <w:p>
      <w:pPr>
        <w:pStyle w:val="ReportList"/>
        <w:numPr>
          <w:ilvl w:val="0"/>
          <w:numId w:val="80"/>
        </w:numPr>
      </w:pPr>
      <w:r>
        <w:t>Taizya: verify actual upload progress, quarantine/rejection/retry and private download feedback with current role changes, keyboard access and physical devices.</w:t>
      </w:r>
    </w:p>
    <w:p>
      <w:pPr>
        <w:pStyle w:val="ReportList"/>
        <w:numPr>
          <w:ilvl w:val="0"/>
          <w:numId w:val="80"/>
        </w:numPr>
      </w:pPr>
      <w:r>
        <w:t>Lubasi: confirm allowed document formats, retention/deletion and reprint/dispute handling, alongside direct-payment receipt review and commission reconciliation.</w:t>
      </w:r>
    </w:p>
    <w:p>
      <w:r>
        <w:t>No team member's approval, vendor acceptance or phase completion is inferred.</w:t>
      </w:r>
    </w:p>
    <w:p>
      <w:pPr>
        <w:pStyle w:val="Heading1"/>
      </w:pPr>
      <w:r>
        <w:t>Report delivery and review evidence</w:t>
      </w:r>
    </w:p>
    <w:p>
      <w:r>
        <w:t>The matching Word document is generated with scripts/generate_team_report.py using the existing compact_reference_guide preset and memo_masthead pattern. The package/XML, real headings/lists, evidence text, Letter page geometry and one-inch margins pass structural checks. All 515 local links across eleven affected Markdown documents resolve. Bucket/credential readback also confirms six empty private buckets, an empty parent and the unused writer's revocation.</w:t>
      </w:r>
    </w:p>
    <w:p>
      <w:r>
        <w:t>Visual rendering was attempted with the document renderer and failed with WinError 2 because LibreOffice/soffice is absent from PATH and the standard installation location. No page images or visual acceptance are claimed. Render and inspect the Word report on a workstation with LibreOffice before external document circulation. Git whitespace checks pass; unrelated user files and attachments are preserved and excluded from this storage slice.</w:t>
      </w:r>
    </w:p>
    <w:p>
      <w:r>
        <w:t>Storage implementation and initial report commit: 5f297584271592e5a4415e7538229527566d02c2 on feature/phase1-staging-readiness. The explicit origin push exits successfully with Everything up-to-date after the initial restricted push stalled. This handover amendment records the final scan count and delivery receipt. No force push, main merge, Vercel promotion or phase-completion claim is made.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