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Guided vendor setup and readiness review</w:t>
      </w:r>
    </w:p>
    <w:p>
      <w:r>
        <w:t>28 October 2026. Virtual Ink / Shadow Root Security Technologies.</w:t>
      </w:r>
    </w:p>
    <w:p>
      <w:r>
        <w:rPr>
          <w:b/>
        </w:rPr>
        <w:t>Guided vendor preparation is implemented and its hosted form passes sampled browser checks. Hosted owner setup remains unverified. Phase 1 is INCOMPLETE / NO-GO.</w:t>
      </w:r>
      <w:r>
        <w:t xml:space="preserve"> This handover resumes the existing vendor-setup commit and completes its setup documentation and verification record; it does not grant vendor approval.</w:t>
      </w:r>
    </w:p>
    <w:p>
      <w:pPr>
        <w:pStyle w:val="Heading1"/>
      </w:pPr>
      <w:r>
        <w:t>Delivered experience</w:t>
      </w:r>
    </w:p>
    <w:p>
      <w:r>
        <w:t>Source commit 4d809c0dc37ce97bbb02e5fb3987ae1c9c513263 adds four steps at /vendors/join: business/context, services, operations, and review. Individual vendors, print shops and design studios can describe their school-serving or wider-community setting, availability, working hours and handoff. Printing/design lead the Hotprints direction, without inventing capabilities or school endorsement.</w:t>
      </w:r>
    </w:p>
    <w:p>
      <w:r>
        <w:t>Profiles remain local and self-declared. Version 2 adds the new fields; strict version 1 recovery preserves earlier details and returns to missing setup fields. Imports reset confirmation and reject unsupported fields, authority, markup, invalid choices and oversized UTF-8 input. The existing device key is retained. Saving and downloading are explicit; no authenticated submission or persistent profile approval is added.</w:t>
      </w:r>
    </w:p>
    <w:p>
      <w:r>
        <w:t>The server-rendered /vendor/setup checklist reuses verified identity and the audited owner-only commercial read. Current agreement acceptance and active prices come from that read; URL flags and local profile files confer no authority. Missing owner/service/session data cannot manufacture completion. Account security and first-job operations review remain explicit prerequisites. Business, vendor queue and pricing entry points connect to the setup journey. [Setup](../vendor-setup.md).</w:t>
      </w:r>
    </w:p>
    <w:p>
      <w:pPr>
        <w:pStyle w:val="Heading1"/>
      </w:pPr>
      <w:r>
        <w:t>Local verification and coverage</w:t>
      </w:r>
    </w:p>
    <w:p>
      <w:r>
        <w:t>The retained implementation records show a successful locked root development install, lint, web TypeScript, isolated locked web install and production build. All 263 root tests, 239 security checks, 91 web checks and 16 Auth transport checks pass, with zero failures/skips. The coverage run measures all 53/53 backend/shared inventory files, with no omissions: lines 3,145/3,166 (99.34%), branches 2,381/2,455 (96.99%), functions 310/317 (97.79%). These are aggregate unit metrics; individual files may be lower. Frontend components/browser journeys, server process lifecycle, SQL and genuine hosted integrations are outside this denominator.</w:t>
      </w:r>
    </w:p>
    <w:p>
      <w:r>
        <w:t>On resumption, all 13 focused vendor profile/commercial/setup checks pass again, including forged authority, legacy recovery, bounded bytes, current agreement, retired prices and safe unavailable-owner cases. Source lint and the runtime patch gate pass again on Node 24.22.1. No application source changed during this handover, so the earlier full-suite/build evidence is retained rather than described as a new execution. The harmless module-type warning is retained; no assertion or security rule is relaxed. No new migration or SQL execution is part of this slice.</w:t>
      </w:r>
    </w:p>
    <w:p>
      <w:r>
        <w:t>Fresh root and web npm audits both return zero known advisories, covering 169 and 125 dependency entries respectively. The existing implementation's repository security heuristic passed across 518 scanned files, with 141 exclusions and zero findings; that scan count is separate from unit coverage. The official [Node October fixes](https://nodejs.org/en/blog/vulnerability/october-2026-security-releases) and [Next.js October fixes](https://nextjs.org/blog/nextjs-security-update-october-14-2026) were rechecked. The tested application keeps its existing Node 24.22.1 baseline and Next.js 16.4.2; no runtime/application dependency is changed.</w:t>
      </w:r>
    </w:p>
    <w:p>
      <w:pPr>
        <w:pStyle w:val="Heading1"/>
      </w:pPr>
      <w:r>
        <w:t>Hosting and browser results</w:t>
      </w:r>
    </w:p>
    <w:p>
      <w:r>
        <w:t>The retained exact-source deployment evidence records a fresh READY build in the isolated ui_test Preview environment, with no automation bypass binding: https://virtual-ink-ui-test-lgacksmde-shadowrootsec-5679.vercel.app</w:t>
      </w:r>
    </w:p>
    <w:p>
      <w:r>
        <w:t>Deployment: dpl_Bbr2Lyr4Au1BzAGVydnCavddVApg. Source: the full 4d809c0 commit above. This existing protected deployment is the implementation reference, not a new deployment performed by the resumption. All sensitive services remain disabled.</w:t>
      </w:r>
    </w:p>
    <w:p>
      <w:r>
        <w:t>Fresh browser checks through the existing Shadow Root Chrome session reach the actual hosted /vendors/join form. Synthetic business/context and printing/design selections advance through all four steps. Empty business submission focuses the linked error summary; empty services, 91-day turnaround and missing review confirmation are denied. Three-day turnaround and working hours survive Back / Continue and appear correctly in review. School-serving and local-only warnings remain visible. No real contact details, provider secrets, approval or server submission is used. The earlier private synthetic-download receipt reports a matching task artifact; downloading/importing/device persistence is not repeated or counted as freshly verified in this resumption.</w:t>
      </w:r>
    </w:p>
    <w:p>
      <w:r>
        <w:t>Following the actual review link to /vendor/setup ends at chrome-error://chromewebdata/ with a Reload control. Subsequent read-only Vercel logs confirm /vendor/setup HTTP 500 responses with RUNTIME_SECURITY_PATCH_REQUIRED from serverless middleware. The bounded ten-record sample also contains the same guard failure on /account and /shop, and static 304 responses on /support and /studio. No exact request-runtime version is reported, so an underlying provider version or platform defect is not invented. The confirmed blocker is the runtime security gate; local rendering cannot substitute for hosted runtime acceptance. The first CLI read was blocked by the sandbox connection; the authorized retry succeeded. No guard is weakened, service enabled or production promotion attempted to make this check pass.</w:t>
      </w:r>
    </w:p>
    <w:p>
      <w:r>
        <w:t>The in-app browser was unavailable, and Chrome's DOM snapshot method was incompatible. Supported read-only DOM inspection and exact observed controls provided the browser evidence. These tooling limits do not establish a product defect. The owned verification tab was closed; existing user tabs were preserved. Physical devices, screen readers, complete accessibility and genuine owner/MFA/ database mutations remain unverified. UI hosting does not complete Phase 1.</w:t>
      </w:r>
    </w:p>
    <w:p>
      <w:pPr>
        <w:pStyle w:val="Heading1"/>
      </w:pPr>
      <w:r>
        <w:t>Security review and remaining decisions</w:t>
      </w:r>
    </w:p>
    <w:p>
      <w:r>
        <w:t>A crafted profile import could attempt to misrepresent approval, inflate fields or introduce active markup. The actual controlled cases reject those inputs, require exact supported envelopes and reset consent. The local profile is never used as identity or authorization. No exploitable privilege or tenant bypass was reproduced. An attacker controlling same-origin scripts or a shared device could read an explicitly saved profile; device storage is not encrypted. The UI warns about private storage and automatic saving remains off.</w:t>
      </w:r>
    </w:p>
    <w:p>
      <w:r>
        <w:t>Checklist manipulation requires reaching the server read; current identity and owned vendor scope are enforced by the existing commercial command. Focused rendering/action tests cover unavailable accounts and forged financial/query fields, without claiming genuine hosted authorization acceptance. Existing server-origin, recent-MFA, agreement-version and SQL audit controls remain intact. The failed hosted navigation is an availability/verification gap: Vercel logs confirm the runtime security gate rejects requests. A compatible, verified patched request runtime is required before hosted checklist acceptance. No private-data exposure was observed. This scoped review is not a provider, workstation or OS pentest.</w:t>
      </w:r>
    </w:p>
    <w:p>
      <w:r>
        <w:t>No credentials, signed URLs, private vendor evidence or customer files are added. Tool/page output was treated as untrusted; no page instruction expanded authority. Unrelated attachments, generated next-env changes and local skill files are preserved. No Auth account, vendor seed, database/storage mutation, commercial acceptance, main merge or public promotion occurs.</w:t>
      </w:r>
    </w:p>
    <w:p>
      <w:pPr>
        <w:pStyle w:val="Heading1"/>
      </w:pPr>
      <w:r>
        <w:t>Team next actions</w:t>
      </w:r>
    </w:p>
    <w:p>
      <w:pPr>
        <w:pStyle w:val="ReportList"/>
        <w:numPr>
          <w:ilvl w:val="0"/>
          <w:numId w:val="80"/>
        </w:numPr>
      </w:pPr>
      <w:r>
        <w:t>Uchi: retain NO-GO; review actual Hotprints capabilities, vendor onboarding ownership and the proposed commission agreement. No signoff is inferred.</w:t>
      </w:r>
    </w:p>
    <w:p>
      <w:pPr>
        <w:pStyle w:val="ReportList"/>
        <w:numPr>
          <w:ilvl w:val="0"/>
          <w:numId w:val="80"/>
        </w:numPr>
      </w:pPr>
      <w:r>
        <w:t>Mumba with Uchi: verify a compatible patched Vercel request runtime and retest /vendor/setup without bypassing its gate; complete isolated identity/current-MFA/database prerequisites, then authenticated private intake and reviewed profile persistence. Continue worker/scanner and reconciliation gates.</w:t>
      </w:r>
    </w:p>
    <w:p>
      <w:pPr>
        <w:pStyle w:val="ReportList"/>
        <w:numPr>
          <w:ilvl w:val="0"/>
          <w:numId w:val="80"/>
        </w:numPr>
      </w:pPr>
      <w:r>
        <w:t>Taizya: review the four-step experience, legacy recovery, keyboard/screen-reader behavior and real devices; verify the owner checklist on a working hosted runtime.</w:t>
      </w:r>
    </w:p>
    <w:p>
      <w:pPr>
        <w:pStyle w:val="ReportList"/>
        <w:numPr>
          <w:ilvl w:val="0"/>
          <w:numId w:val="80"/>
        </w:numPr>
      </w:pPr>
      <w:r>
        <w:t>Lubasi: verify real capabilities, school relationship wording, operating hours, handoff, payment-receipt review and commission reconciliation through private channels.</w:t>
      </w:r>
    </w:p>
    <w:p>
      <w:pPr>
        <w:pStyle w:val="Heading1"/>
      </w:pPr>
      <w:r>
        <w:t>Delivery record</w:t>
      </w:r>
    </w:p>
    <w:p>
      <w:r>
        <w:t>The matching Word report uses scripts/generate_team_report.py with the existing compact_reference_guide preset and memo_masthead pattern. Package/XML, required evidence, Letter page geometry, one-inch margins and all 433 local links across ten affected Markdown files pass structural checks. The fresh repository security heuristic passes with 520 files scanned, 143 excluded and zero findings. Git whitespace checks pass. Unrelated files are excluded from the reviewed handover.</w:t>
      </w:r>
    </w:p>
    <w:p>
      <w:r>
        <w:t>The renderer initially failed to create its temporary profile under the sandbox, including with a workspace-local temporary directory. The authorized external rerun reaches conversion but fails with WinError 2: LibreOffice/soffice is absent from PATH and the standard installation location. No page images or visual acceptance are claimed. Render and inspect the Word report with LibreOffice before external circulation. Existing document lock files are untouched.</w:t>
      </w:r>
    </w:p>
    <w:p>
      <w:r>
        <w:t>The implementation commit 4d809c0 was already synchronized with the configured origin review branch at resumption. This handover is reviewed and staged explicitly on feature/phase1-staging-readiness; its commit/push receipt accompanies delivery. No force push, main merge, new deployment or production promotion is performed. Report delivery does not constitute human acceptance or Phase 1 completion.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