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Phase 1 permission matrix handover</w:t>
      </w:r>
    </w:p>
    <w:p>
      <w:r>
        <w:t xml:space="preserve">Date: 15 October 2026. Owners: Uchi Chinyama and Mumba Chitonge, backend collaborators. Status: </w:t>
      </w:r>
      <w:r>
        <w:rPr>
          <w:b/>
        </w:rPr>
        <w:t>proposed policy for review; no authorization capability was added or widened</w:t>
      </w:r>
      <w:r>
        <w:t>. The [matrix](../phase-1-permission-matrix.md) maps all eight requested roles to order, file, quote, assignment, proof, production, QC, delivery, audit and identity actions.</w:t>
      </w:r>
    </w:p>
    <w:p>
      <w:pPr>
        <w:pStyle w:val="Heading1"/>
      </w:pPr>
      <w:r>
        <w:t>Handover</w:t>
      </w:r>
    </w:p>
    <w:p>
      <w:r>
        <w:t>Every row combines a role with resource scope. Customer and organization access is limited to owned/permitted orders. Vendor and designer access requires active assignment; vendors cannot self-assign or approve customer proofs. Delivery partners receive only assigned delivery fields, never source files or proofs. Sensitive admin actions require named, expiring server-side capabilities, purpose, reason, audit and step-up as applicable. Suspended or unmapped identities, missing scope, stale versions or unavailable required audit fail closed.</w:t>
      </w:r>
    </w:p>
    <w:p>
      <w:r>
        <w:t>The matrix is a proposed target. It must be implemented in server routes and actions, normalized application-role records, RLS and Storage policy, then tested with two customers/organizations/vendors, designer, delivery partner and privileged actors. Current database roles remain the narrow legacy set; the matrix does not claim migration, RLS or API implementation.</w:t>
      </w:r>
    </w:p>
    <w:p>
      <w:pPr>
        <w:pStyle w:val="Heading1"/>
      </w:pPr>
      <w:r>
        <w:t>Open decisions</w:t>
      </w:r>
    </w:p>
    <w:p>
      <w:r>
        <w:t>Uchi and operations need to accept organization-order scope, who can delegate order approval, mixed-role behavior, permitted cancellation states, delivery data, break-glass review, administrator step-up frequency, MFA recovery and audit retention. Until these decisions are recorded, dependent access remains denied. No reviewer acknowledgement or human approval is claimed.</w:t>
      </w:r>
    </w:p>
    <w:p>
      <w:pPr>
        <w:pStyle w:val="Heading1"/>
      </w:pPr>
      <w:r>
        <w:t>Security review</w:t>
      </w:r>
    </w:p>
    <w:p>
      <w:r>
        <w:t>Threats described are conditional on adding the corresponding route/storage capability: a caller may substitute another order/vendor ID (IDOR), forge a role field, exploit a mixed role to broaden access, or receive private print files via a delivery assignment. The design requires server-derived roles, active resource-bound grants, scoped RLS/Storage, deny-on-stale state and tests at HTTP, database and Storage. No new endpoint, database grant or hosted schema change was made; none of these target paths was newly exposed by this document. Hosted policy tests remain inaccessible until reviewed isolated fixtures and Auth/database setup are available.</w:t>
      </w:r>
    </w:p>
    <w:p>
      <w:pPr>
        <w:pStyle w:val="Heading1"/>
      </w:pPr>
      <w:r>
        <w:t>Team actions</w:t>
      </w:r>
    </w:p>
    <w:p>
      <w:pPr>
        <w:pStyle w:val="ReportList"/>
        <w:numPr>
          <w:ilvl w:val="0"/>
          <w:numId w:val="80"/>
        </w:numPr>
      </w:pPr>
      <w:r>
        <w:t>Uchi: review the listed authority boundaries and resolve the business decisions; approve exact acceptance cases before the role migration/API slice.</w:t>
      </w:r>
    </w:p>
    <w:p>
      <w:pPr>
        <w:pStyle w:val="ReportList"/>
        <w:numPr>
          <w:ilvl w:val="0"/>
          <w:numId w:val="80"/>
        </w:numPr>
      </w:pPr>
      <w:r>
        <w:t>Mumba: review the proposed role storage, grant schema and enforcement/tests with Uchi; reconcile the existing hosted migration-history discrepancy.</w:t>
      </w:r>
    </w:p>
    <w:p>
      <w:pPr>
        <w:pStyle w:val="ReportList"/>
        <w:numPr>
          <w:ilvl w:val="0"/>
          <w:numId w:val="80"/>
        </w:numPr>
      </w:pPr>
      <w:r>
        <w:t>Taizya: map role/session/denied/step-up states into the responsive dashboard and recovery experiences while preserving approved branding.</w:t>
      </w:r>
    </w:p>
    <w:p>
      <w:pPr>
        <w:pStyle w:val="ReportList"/>
        <w:numPr>
          <w:ilvl w:val="0"/>
          <w:numId w:val="80"/>
        </w:numPr>
      </w:pPr>
      <w:r>
        <w:t>Lubasi: confirm vendor assignment, delivery minimum fields, cancellation and support/break-glass operating rules; keep private operational evidence out of Git.</w:t>
      </w:r>
    </w:p>
    <w:p>
      <w:r>
        <w:t>The next implementation action is to add the pure server permission evaluator and permission-matrix tests without opening routes or database/storage grants. Phase 1 remains PARTIAL; Auth lifecycle, private files, order workflow, dashboards, manual acceptance and deployed Vercel role workflows remain unverified.</w:t>
      </w:r>
    </w:p>
    <w:p>
      <w:r>
        <w:t>The matching Word report uses the established generator and passes the structural OOXML audit. Link/privacy validation is performed before commit. Visual pagination cannot be reviewed because LibreOffice is unavailable. Phase completion is not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