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Source lint gate and editor corrections</w:t>
      </w:r>
    </w:p>
    <w:p>
      <w:r>
        <w:t xml:space="preserve">Date: 17 October 2026. Local slice: </w:t>
      </w:r>
      <w:r>
        <w:rPr>
          <w:b/>
        </w:rPr>
        <w:t>verified for review</w:t>
      </w:r>
      <w:r>
        <w:t xml:space="preserve">. Phase 1: </w:t>
      </w:r>
      <w:r>
        <w:rPr>
          <w:b/>
        </w:rPr>
        <w:t>PARTIAL</w:t>
      </w:r>
      <w:r>
        <w:t>.</w:t>
      </w:r>
    </w:p>
    <w:p>
      <w:pPr>
        <w:pStyle w:val="Heading1"/>
      </w:pPr>
      <w:r>
        <w:t>Change and scope</w:t>
      </w:r>
    </w:p>
    <w:p>
      <w:r>
        <w:t xml:space="preserve">Starting checkpoint: </w:t>
      </w:r>
      <w:r>
        <w:rPr>
          <w:rFonts w:ascii="Consolas" w:hAnsi="Consolas"/>
          <w:sz w:val="20"/>
        </w:rPr>
        <w:t>faa6732</w:t>
      </w:r>
      <w:r>
        <w:t>, following the isolated acceptance handover. The next independent Phase 1 check was the missing lint command. This slice adds a maintained, pinned JavaScript/TypeScript and React/Hook gate, fixes the reviewed findings, and enforces the full gate during web builds. It does not enable Auth, administration, uploads, payments or another marketplace phase.</w:t>
      </w:r>
    </w:p>
    <w:p>
      <w:r>
        <w:t xml:space="preserve">Tested source is committed locally as </w:t>
      </w:r>
      <w:r>
        <w:rPr>
          <w:rFonts w:ascii="Consolas" w:hAnsi="Consolas"/>
          <w:sz w:val="20"/>
        </w:rPr>
        <w:t>3ec1425f12276d5dcb99f33bffd1fb90b8246db6</w:t>
      </w:r>
      <w:r>
        <w:t xml:space="preserve"> on </w:t>
      </w:r>
      <w:r>
        <w:rPr>
          <w:rFonts w:ascii="Consolas" w:hAnsi="Consolas"/>
          <w:sz w:val="20"/>
        </w:rPr>
        <w:t>codex/phase-1-lint-gate</w:t>
      </w:r>
      <w:r>
        <w:t>. It has not been pushed or deployed. Documentation and the Word report are saved in the subsequent handover checkpoint.</w:t>
      </w:r>
    </w:p>
    <w:p>
      <w:r>
        <w:t xml:space="preserve">The root supplies </w:t>
      </w:r>
      <w:r>
        <w:rPr>
          <w:rFonts w:ascii="Consolas" w:hAnsi="Consolas"/>
          <w:sz w:val="20"/>
        </w:rPr>
        <w:t>npm run lint</w:t>
      </w:r>
      <w:r>
        <w:t xml:space="preserve"> and </w:t>
      </w:r>
      <w:r>
        <w:rPr>
          <w:rFonts w:ascii="Consolas" w:hAnsi="Consolas"/>
          <w:sz w:val="20"/>
        </w:rPr>
        <w:t>npm run lint:web</w:t>
      </w:r>
      <w:r>
        <w:t>; the web package delegates its lint command to the latter. The optimized web build checks environment isolation, then runs the complete lint command, then compiles Next.js. Both Vercel source configurations explicitly install build development dependencies. No hosted configuration, deployment, database, Auth user, storage or provider plan was changed. Existing user edits and attachments are preserved.</w:t>
      </w:r>
    </w:p>
    <w:p>
      <w:r>
        <w:t xml:space="preserve">The clean lint scope contains 156 files: executable JS/TS in </w:t>
      </w:r>
      <w:r>
        <w:rPr>
          <w:rFonts w:ascii="Consolas" w:hAnsi="Consolas"/>
          <w:sz w:val="20"/>
        </w:rPr>
        <w:t>src</w:t>
      </w:r>
      <w:r>
        <w:t xml:space="preserve">, JS/TS scripts and tests, web application/configuration source and </w:t>
      </w:r>
      <w:r>
        <w:rPr>
          <w:rFonts w:ascii="Consolas" w:hAnsi="Consolas"/>
          <w:sz w:val="20"/>
        </w:rPr>
        <w:t>eslint.config.mjs</w:t>
      </w:r>
      <w:r>
        <w:t>. Any warning or error fails. Private files, dependencies, generated output/types, coverage and supplied attachments are excluded. SQL, Python, PowerShell, CSS, assets and human workflows are outside this gate. Strict semantic TypeScript checking remains separate; lint is not type-aware analysis or test coverage.</w:t>
      </w:r>
    </w:p>
    <w:p>
      <w:pPr>
        <w:pStyle w:val="Heading1"/>
      </w:pPr>
      <w:r>
        <w:t>Findings and corrections</w:t>
      </w:r>
    </w:p>
    <w:p>
      <w:r>
        <w:t>The first source scan returned 31 errors and 20 warnings. Two components wrote latest-design refs during render. They now update in layout effects after commit, so an abandoned render cannot itself update the committed-design reference. Preview readiness previously changed in a passive effect. It now compares the current design with the design last painted successfully, avoiding an extra readiness render and invalidating readiness as soon as the design changes. Cancelled paint completions remain ignored. The browser checks below exercise ordinary interactions; interrupted-render scheduling was not directly reproduced. These are React correctness findings, not a demonstrated authorization exploit.</w:t>
      </w:r>
    </w:p>
    <w:p>
      <w:r>
        <w:t>Reviewed small corrections remove unused type/header bindings, mark an intentionally omitted coverage detail binding, initialize a mutable test error explicitly and remove an unnecessary regex escape with unchanged accepted characters. The genuine fixture cleanup records failure and skips an unowned container instead of throwing inside its outer finally block. It still refuses to stop/remove an unowned resource.</w:t>
      </w:r>
    </w:p>
    <w:p>
      <w:r>
        <w:t>Deliberate security behavior is retained. Eleven inline annotations identify ASCII control rejection filters; their patterns are unchanged. Two browser-storage reads remain after hydration to preserve initial server/client output, and two cleanup annotations explain invalidation of mutable request-generation counters. One filesystem error annotation preserves redaction instead of attaching a private raw cause. Existing ref naming and Node side-effect ternaries are permitted. Duplicate React-package effect/dependency rules defer to the official Hook rules, which remain enabled. No source file was removed from the measured lint scope to obtain a pass. See [lint configuration and exceptions](../linting.md).</w:t>
      </w:r>
    </w:p>
    <w:p>
      <w:pPr>
        <w:pStyle w:val="Heading1"/>
      </w:pPr>
      <w:r>
        <w:t>Tooling security review</w:t>
      </w:r>
    </w:p>
    <w:p>
      <w:r>
        <w:t>The initial ESLint 9/Next-preset install was rejected: ESLint 9 is [out of maintenance](https://eslint.org/version-support/), and the preset introduced one unpatched [braces stack-exhaustion advisory](https://github.com/advisories/GHSA-vfj7-8cjw-p6xm) propagated across five high-severity package findings. A malicious glob supplied to that development dependency could exhaust its stack. No exploit probe or remote application exposure was demonstrated. The entire Next-preset/glob chain was removed, without forced downgrades or peer overrides. The final root and web audits each report zero known vulnerabilities. The Next-specific preset is not part of this gate; full Next-rule and accessibility acceptance remains separate.</w:t>
      </w:r>
    </w:p>
    <w:p>
      <w:r>
        <w:t>Pinned root development tools are ESLint 10.13.0, @eslint/js 10.0.1, typescript-eslint 8.71.2, TypeScript 5.9.3, globals 17.13.0, @eslint-react/eslint-plugin 5.28.0 and eslint-plugin-react-hooks 7.1.1. No application runtime import uses them. References include the installed Next.js ESLint guide, the current [Next lint documentation](https://nextjs.org/docs/app/api-reference/config/eslint), [React Hook rules](https://react.dev/reference/eslint-plugin-react-hooks) and the [React rule maintainer](https://github.com/Rel1cx/eslint-react).</w:t>
      </w:r>
    </w:p>
    <w:p>
      <w:r>
        <w:t>Controlled in-memory probes confirm rejection of an undefined Node identifier, unsafe TypeScript any, a conditional Hook and a missing JSX list key. A clean fixture is accepted. No probe file was written into the application. These probes verify active enforcement; they are not product workflow tests.</w:t>
      </w:r>
    </w:p>
    <w:p>
      <w:pPr>
        <w:pStyle w:val="Heading1"/>
      </w:pPr>
      <w:r>
        <w:t>Actual verification</w:t>
      </w:r>
    </w:p>
    <w:p>
      <w:r>
        <w:t>Final application checks use private reviewed Node 24.21.0. Backend coverage run: 2026-10-17T10:04:22.341Z. Genuine local Auth run began: 2026-10-17T10:04:30.709Z.</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Complete source lint</w:t>
            </w:r>
          </w:p>
        </w:tc>
        <w:tc>
          <w:tcPr>
            <w:tcW w:type="dxa" w:w="6060"/>
            <w:vAlign w:val="center"/>
          </w:tcPr>
          <w:p>
            <w:pPr>
              <w:pStyle w:val="ReportTableText"/>
            </w:pPr>
            <w:r>
              <w:t>156 files; zero errors/warnings</w:t>
            </w:r>
          </w:p>
        </w:tc>
      </w:tr>
      <w:tr>
        <w:trPr>
          <w:cantSplit/>
        </w:trPr>
        <w:tc>
          <w:tcPr>
            <w:tcW w:type="dxa" w:w="3300"/>
            <w:vAlign w:val="center"/>
          </w:tcPr>
          <w:p>
            <w:pPr>
              <w:pStyle w:val="ReportTableText"/>
            </w:pPr>
            <w:r>
              <w:t>Web lint command delegation</w:t>
            </w:r>
          </w:p>
        </w:tc>
        <w:tc>
          <w:tcPr>
            <w:tcW w:type="dxa" w:w="6060"/>
            <w:vAlign w:val="center"/>
          </w:tcPr>
          <w:p>
            <w:pPr>
              <w:pStyle w:val="ReportTableText"/>
            </w:pPr>
            <w:r>
              <w:t>Passed</w:t>
            </w:r>
          </w:p>
        </w:tc>
      </w:tr>
      <w:tr>
        <w:trPr>
          <w:cantSplit/>
        </w:trPr>
        <w:tc>
          <w:tcPr>
            <w:tcW w:type="dxa" w:w="3300"/>
            <w:vAlign w:val="center"/>
          </w:tcPr>
          <w:p>
            <w:pPr>
              <w:pStyle w:val="ReportTableText"/>
            </w:pPr>
            <w:r>
              <w:t>Clean lockfile install</w:t>
            </w:r>
          </w:p>
        </w:tc>
        <w:tc>
          <w:tcPr>
            <w:tcW w:type="dxa" w:w="6060"/>
            <w:vAlign w:val="center"/>
          </w:tcPr>
          <w:p>
            <w:pPr>
              <w:pStyle w:val="ReportTableText"/>
            </w:pPr>
            <w:r>
              <w:t>Passed with development dependencies and lifecycle scripts disabled; lint passed again from that installation</w:t>
            </w:r>
          </w:p>
        </w:tc>
      </w:tr>
      <w:tr>
        <w:trPr>
          <w:cantSplit/>
        </w:trPr>
        <w:tc>
          <w:tcPr>
            <w:tcW w:type="dxa" w:w="3300"/>
            <w:vAlign w:val="center"/>
          </w:tcPr>
          <w:p>
            <w:pPr>
              <w:pStyle w:val="ReportTableText"/>
            </w:pPr>
            <w:r>
              <w:t>Dependency preservation</w:t>
            </w:r>
          </w:p>
        </w:tc>
        <w:tc>
          <w:tcPr>
            <w:tcW w:type="dxa" w:w="6060"/>
            <w:vAlign w:val="center"/>
          </w:tcPr>
          <w:p>
            <w:pPr>
              <w:pStyle w:val="ReportTableText"/>
            </w:pPr>
            <w:r>
              <w:t>All fourteen pre-existing lock entries unchanged; final packages resolve to the npm registry with SHA-512 integrity</w:t>
            </w:r>
          </w:p>
        </w:tc>
      </w:tr>
      <w:tr>
        <w:trPr>
          <w:cantSplit/>
        </w:trPr>
        <w:tc>
          <w:tcPr>
            <w:tcW w:type="dxa" w:w="3300"/>
            <w:vAlign w:val="center"/>
          </w:tcPr>
          <w:p>
            <w:pPr>
              <w:pStyle w:val="ReportTableText"/>
            </w:pPr>
            <w:r>
              <w:t>Controlled rule probes</w:t>
            </w:r>
          </w:p>
        </w:tc>
        <w:tc>
          <w:tcPr>
            <w:tcW w:type="dxa" w:w="6060"/>
            <w:vAlign w:val="center"/>
          </w:tcPr>
          <w:p>
            <w:pPr>
              <w:pStyle w:val="ReportTableText"/>
            </w:pPr>
            <w:r>
              <w:t>Four bad fixtures rejected; clean fixture accepted</w:t>
            </w:r>
          </w:p>
        </w:tc>
      </w:tr>
      <w:tr>
        <w:trPr>
          <w:cantSplit/>
        </w:trPr>
        <w:tc>
          <w:tcPr>
            <w:tcW w:type="dxa" w:w="3300"/>
            <w:vAlign w:val="center"/>
          </w:tcPr>
          <w:p>
            <w:pPr>
              <w:pStyle w:val="ReportTableText"/>
            </w:pPr>
            <w:r>
              <w:t>Complete root suite</w:t>
            </w:r>
          </w:p>
        </w:tc>
        <w:tc>
          <w:tcPr>
            <w:tcW w:type="dxa" w:w="6060"/>
            <w:vAlign w:val="center"/>
          </w:tcPr>
          <w:p>
            <w:pPr>
              <w:pStyle w:val="ReportTableText"/>
            </w:pPr>
            <w:r>
              <w:t>206 passed; zero failed/skipped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195 passed; included in the root scope</w:t>
            </w:r>
          </w:p>
        </w:tc>
      </w:tr>
      <w:tr>
        <w:trPr>
          <w:cantSplit/>
        </w:trPr>
        <w:tc>
          <w:tcPr>
            <w:tcW w:type="dxa" w:w="3300"/>
            <w:vAlign w:val="center"/>
          </w:tcPr>
          <w:p>
            <w:pPr>
              <w:pStyle w:val="ReportTableText"/>
            </w:pPr>
            <w:r>
              <w:t>Backend/shared inventory</w:t>
            </w:r>
          </w:p>
        </w:tc>
        <w:tc>
          <w:tcPr>
            <w:tcW w:type="dxa" w:w="6060"/>
            <w:vAlign w:val="center"/>
          </w:tcPr>
          <w:p>
            <w:pPr>
              <w:pStyle w:val="ReportTableText"/>
            </w:pPr>
            <w:r>
              <w:t>39/39 executable files measured; none omitted</w:t>
            </w:r>
          </w:p>
        </w:tc>
      </w:tr>
      <w:tr>
        <w:trPr>
          <w:cantSplit/>
        </w:trPr>
        <w:tc>
          <w:tcPr>
            <w:tcW w:type="dxa" w:w="3300"/>
            <w:vAlign w:val="center"/>
          </w:tcPr>
          <w:p>
            <w:pPr>
              <w:pStyle w:val="ReportTableText"/>
            </w:pPr>
            <w:r>
              <w:t>Lines</w:t>
            </w:r>
          </w:p>
        </w:tc>
        <w:tc>
          <w:tcPr>
            <w:tcW w:type="dxa" w:w="6060"/>
            <w:vAlign w:val="center"/>
          </w:tcPr>
          <w:p>
            <w:pPr>
              <w:pStyle w:val="ReportTableText"/>
            </w:pPr>
            <w:r>
              <w:t>2186/2200 = 99.3636%</w:t>
            </w:r>
          </w:p>
        </w:tc>
      </w:tr>
      <w:tr>
        <w:trPr>
          <w:cantSplit/>
        </w:trPr>
        <w:tc>
          <w:tcPr>
            <w:tcW w:type="dxa" w:w="3300"/>
            <w:vAlign w:val="center"/>
          </w:tcPr>
          <w:p>
            <w:pPr>
              <w:pStyle w:val="ReportTableText"/>
            </w:pPr>
            <w:r>
              <w:t>Branches</w:t>
            </w:r>
          </w:p>
        </w:tc>
        <w:tc>
          <w:tcPr>
            <w:tcW w:type="dxa" w:w="6060"/>
            <w:vAlign w:val="center"/>
          </w:tcPr>
          <w:p>
            <w:pPr>
              <w:pStyle w:val="ReportTableText"/>
            </w:pPr>
            <w:r>
              <w:t>1630/1682 = 96.9084%</w:t>
            </w:r>
          </w:p>
        </w:tc>
      </w:tr>
      <w:tr>
        <w:trPr>
          <w:cantSplit/>
        </w:trPr>
        <w:tc>
          <w:tcPr>
            <w:tcW w:type="dxa" w:w="3300"/>
            <w:vAlign w:val="center"/>
          </w:tcPr>
          <w:p>
            <w:pPr>
              <w:pStyle w:val="ReportTableText"/>
            </w:pPr>
            <w:r>
              <w:t>Functions</w:t>
            </w:r>
          </w:p>
        </w:tc>
        <w:tc>
          <w:tcPr>
            <w:tcW w:type="dxa" w:w="6060"/>
            <w:vAlign w:val="center"/>
          </w:tcPr>
          <w:p>
            <w:pPr>
              <w:pStyle w:val="ReportTableText"/>
            </w:pPr>
            <w:r>
              <w:t>204/207 = 98.5507%</w:t>
            </w:r>
          </w:p>
        </w:tc>
      </w:tr>
      <w:tr>
        <w:trPr>
          <w:cantSplit/>
        </w:trPr>
        <w:tc>
          <w:tcPr>
            <w:tcW w:type="dxa" w:w="3300"/>
            <w:vAlign w:val="center"/>
          </w:tcPr>
          <w:p>
            <w:pPr>
              <w:pStyle w:val="ReportTableText"/>
            </w:pPr>
            <w:r>
              <w:t>React/mesh SSR</w:t>
            </w:r>
          </w:p>
        </w:tc>
        <w:tc>
          <w:tcPr>
            <w:tcW w:type="dxa" w:w="6060"/>
            <w:vAlign w:val="center"/>
          </w:tcPr>
          <w:p>
            <w:pPr>
              <w:pStyle w:val="ReportTableText"/>
            </w:pPr>
            <w:r>
              <w:t>11 passed</w:t>
            </w:r>
          </w:p>
        </w:tc>
      </w:tr>
      <w:tr>
        <w:trPr>
          <w:cantSplit/>
        </w:trPr>
        <w:tc>
          <w:tcPr>
            <w:tcW w:type="dxa" w:w="3300"/>
            <w:vAlign w:val="center"/>
          </w:tcPr>
          <w:p>
            <w:pPr>
              <w:pStyle w:val="ReportTableText"/>
            </w:pPr>
            <w:r>
              <w:t>SDK/Next adapter with synthetic HTTP</w:t>
            </w:r>
          </w:p>
        </w:tc>
        <w:tc>
          <w:tcPr>
            <w:tcW w:type="dxa" w:w="6060"/>
            <w:vAlign w:val="center"/>
          </w:tcPr>
          <w:p>
            <w:pPr>
              <w:pStyle w:val="ReportTableText"/>
            </w:pPr>
            <w:r>
              <w:t>16 passed</w:t>
            </w:r>
          </w:p>
        </w:tc>
      </w:tr>
      <w:tr>
        <w:trPr>
          <w:cantSplit/>
        </w:trPr>
        <w:tc>
          <w:tcPr>
            <w:tcW w:type="dxa" w:w="3300"/>
            <w:vAlign w:val="center"/>
          </w:tcPr>
          <w:p>
            <w:pPr>
              <w:pStyle w:val="ReportTableText"/>
            </w:pPr>
            <w:r>
              <w:t>Genuine local Auth/MFA</w:t>
            </w:r>
          </w:p>
        </w:tc>
        <w:tc>
          <w:tcPr>
            <w:tcW w:type="dxa" w:w="6060"/>
            <w:vAlign w:val="center"/>
          </w:tcPr>
          <w:p>
            <w:pPr>
              <w:pStyle w:val="ReportTableText"/>
            </w:pPr>
            <w:r>
              <w:t>207 passed; labelled resource cleanup passed</w:t>
            </w:r>
          </w:p>
        </w:tc>
      </w:tr>
      <w:tr>
        <w:trPr>
          <w:cantSplit/>
        </w:trPr>
        <w:tc>
          <w:tcPr>
            <w:tcW w:type="dxa" w:w="3300"/>
            <w:vAlign w:val="center"/>
          </w:tcPr>
          <w:p>
            <w:pPr>
              <w:pStyle w:val="ReportTableText"/>
            </w:pPr>
            <w:r>
              <w:t>Strict backend/shared and web types</w:t>
            </w:r>
          </w:p>
        </w:tc>
        <w:tc>
          <w:tcPr>
            <w:tcW w:type="dxa" w:w="6060"/>
            <w:vAlign w:val="center"/>
          </w:tcPr>
          <w:p>
            <w:pPr>
              <w:pStyle w:val="ReportTableText"/>
            </w:pPr>
            <w:r>
              <w:t>Passed</w:t>
            </w:r>
          </w:p>
        </w:tc>
      </w:tr>
      <w:tr>
        <w:trPr>
          <w:cantSplit/>
        </w:trPr>
        <w:tc>
          <w:tcPr>
            <w:tcW w:type="dxa" w:w="3300"/>
            <w:vAlign w:val="center"/>
          </w:tcPr>
          <w:p>
            <w:pPr>
              <w:pStyle w:val="ReportTableText"/>
            </w:pPr>
            <w:r>
              <w:t>Optimized web build with enforced lint</w:t>
            </w:r>
          </w:p>
        </w:tc>
        <w:tc>
          <w:tcPr>
            <w:tcW w:type="dxa" w:w="6060"/>
            <w:vAlign w:val="center"/>
          </w:tcPr>
          <w:p>
            <w:pPr>
              <w:pStyle w:val="ReportTableText"/>
            </w:pPr>
            <w:r>
              <w:t>Passed; sixteen static pages and dynamic routes</w:t>
            </w:r>
          </w:p>
        </w:tc>
      </w:tr>
      <w:tr>
        <w:trPr>
          <w:cantSplit/>
        </w:trPr>
        <w:tc>
          <w:tcPr>
            <w:tcW w:type="dxa" w:w="3300"/>
            <w:vAlign w:val="center"/>
          </w:tcPr>
          <w:p>
            <w:pPr>
              <w:pStyle w:val="ReportTableText"/>
            </w:pPr>
            <w:r>
              <w:t>Loopback public HTTP</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Loopback disabled-Auth HTTP</w:t>
            </w:r>
          </w:p>
        </w:tc>
        <w:tc>
          <w:tcPr>
            <w:tcW w:type="dxa" w:w="6060"/>
            <w:vAlign w:val="center"/>
          </w:tcPr>
          <w:p>
            <w:pPr>
              <w:pStyle w:val="ReportTableText"/>
            </w:pPr>
            <w:r>
              <w:t>44 assertions across eleven requests passed</w:t>
            </w:r>
          </w:p>
        </w:tc>
      </w:tr>
      <w:tr>
        <w:trPr>
          <w:cantSplit/>
        </w:trPr>
        <w:tc>
          <w:tcPr>
            <w:tcW w:type="dxa" w:w="3300"/>
            <w:vAlign w:val="center"/>
          </w:tcPr>
          <w:p>
            <w:pPr>
              <w:pStyle w:val="ReportTableText"/>
            </w:pPr>
            <w:r>
              <w:t>Local Chrome samples</w:t>
            </w:r>
          </w:p>
        </w:tc>
        <w:tc>
          <w:tcPr>
            <w:tcW w:type="dxa" w:w="6060"/>
            <w:vAlign w:val="center"/>
          </w:tcPr>
          <w:p>
            <w:pPr>
              <w:pStyle w:val="ReportTableText"/>
            </w:pPr>
            <w:r>
              <w:t>Text, undo, redo, four-line denial, download readiness, 3D readiness/front/back/current text passed; zero captured page errors</w:t>
            </w:r>
          </w:p>
        </w:tc>
      </w:tr>
      <w:tr>
        <w:trPr>
          <w:cantSplit/>
        </w:trPr>
        <w:tc>
          <w:tcPr>
            <w:tcW w:type="dxa" w:w="3300"/>
            <w:vAlign w:val="center"/>
          </w:tcPr>
          <w:p>
            <w:pPr>
              <w:pStyle w:val="ReportTableText"/>
            </w:pPr>
            <w:r>
              <w:t>Generated browser text artifacts</w:t>
            </w:r>
          </w:p>
        </w:tc>
        <w:tc>
          <w:tcPr>
            <w:tcW w:type="dxa" w:w="6060"/>
            <w:vAlign w:val="center"/>
          </w:tcPr>
          <w:p>
            <w:pPr>
              <w:pStyle w:val="ReportTableText"/>
            </w:pPr>
            <w:r>
              <w:t>All 53 scanned; zero matching secret/token/enrollment patterns</w:t>
            </w:r>
          </w:p>
        </w:tc>
      </w:tr>
      <w:tr>
        <w:trPr>
          <w:cantSplit/>
        </w:trPr>
        <w:tc>
          <w:tcPr>
            <w:tcW w:type="dxa" w:w="3300"/>
            <w:vAlign w:val="center"/>
          </w:tcPr>
          <w:p>
            <w:pPr>
              <w:pStyle w:val="ReportTableText"/>
            </w:pPr>
            <w:r>
              <w:t>Root and full web npm audits</w:t>
            </w:r>
          </w:p>
        </w:tc>
        <w:tc>
          <w:tcPr>
            <w:tcW w:type="dxa" w:w="6060"/>
            <w:vAlign w:val="center"/>
          </w:tcPr>
          <w:p>
            <w:pPr>
              <w:pStyle w:val="ReportTableText"/>
            </w:pPr>
            <w:r>
              <w:t>Zero known vulnerabilities in each</w:t>
            </w:r>
          </w:p>
        </w:tc>
      </w:tr>
      <w:tr>
        <w:trPr>
          <w:cantSplit/>
        </w:trPr>
        <w:tc>
          <w:tcPr>
            <w:tcW w:type="dxa" w:w="3300"/>
            <w:vAlign w:val="center"/>
          </w:tcPr>
          <w:p>
            <w:pPr>
              <w:pStyle w:val="ReportTableText"/>
            </w:pPr>
            <w:r>
              <w:t>Runtime minimum and repository heuristics</w:t>
            </w:r>
          </w:p>
        </w:tc>
        <w:tc>
          <w:tcPr>
            <w:tcW w:type="dxa" w:w="6060"/>
            <w:vAlign w:val="center"/>
          </w:tcPr>
          <w:p>
            <w:pPr>
              <w:pStyle w:val="ReportTableText"/>
            </w:pPr>
            <w:r>
              <w:t>Passed; the separate HIGH advisory remains open</w:t>
            </w:r>
          </w:p>
        </w:tc>
      </w:tr>
    </w:tbl>
    <w:p>
      <w:pPr>
        <w:spacing w:after="80"/>
      </w:pPr>
    </w:p>
    <w:p>
      <w:r>
        <w:t>Coverage measures backend/shared unit source. It excludes frontend/browser, standalone server lifecycle, SQL and genuine hosted integrations. SSR and synthetic SDK tests do not establish browser coverage or email delivery. The genuine run uses real digest-pinned local Auth/PostgreSQL, synthetic identities and the source gateway/commands through the reviewed loopback transport. It is not hosted Next acceptance, a physical QR scan or human approval. Standalone legacy SQL suites and hosted checks were not rerun in this slice; no SQL migration changed.</w:t>
      </w:r>
    </w:p>
    <w:p>
      <w:r>
        <w:t>The public HTTP script was executed with only its fixed loopback port rewritten from 3001 to task-owned 3117. The account script used its existing WEB_CHECK_URL override. No existing server was stopped. The task preview was stopped after QA. The in-app browser was unavailable; Chrome's documented snapshot method also failed. Supported screenshots, bounded DOM reads and normal control interactions provided the sampled evidence. The task-created tab was closed. Native file import, actual image downloads, full mobile/accessibility and concurrency acceptance were not repeated. Browser/tool output was treated as data, never instruction.</w:t>
      </w:r>
    </w:p>
    <w:p>
      <w:pPr>
        <w:pStyle w:val="Heading1"/>
      </w:pPr>
      <w:r>
        <w:t>Remaining gates and team actions</w:t>
      </w:r>
    </w:p>
    <w:p>
      <w:r>
        <w:t>The [previous acceptance failure](2026-10-17-hosted-acceptance-verification.md) remains: no working isolated Vercel Preview, unsupported native MFA hook on Free, disabled runtime logins and unaccepted hosted Auth/role workflows. The [Node HIGH release notice](https://nodejs.org/en/blog/vulnerability/october-2026-security-releases) still blocks sensitive release despite a passing static minimum. No deploy or push was attempted; the original repository's automatic deployment integration remains excluded by the acceptance runbook. No phase or human acceptance closes. Private-file, order, proof and production/QC requirement groups remain unbuilt or unaccepted; lint success is not progress evidence for those workflows.</w:t>
      </w:r>
    </w:p>
    <w:p>
      <w:pPr>
        <w:pStyle w:val="ReportList"/>
        <w:numPr>
          <w:ilvl w:val="0"/>
          <w:numId w:val="80"/>
        </w:numPr>
      </w:pPr>
      <w:r>
        <w:t>Uchi: review this local slice and resolve compatible MFA hosting and supported Preview-only creation; retain the Phase 1 scope and human acceptance gates.</w:t>
      </w:r>
    </w:p>
    <w:p>
      <w:pPr>
        <w:pStyle w:val="ReportList"/>
        <w:numPr>
          <w:ilvl w:val="0"/>
          <w:numId w:val="80"/>
        </w:numPr>
      </w:pPr>
      <w:r>
        <w:t>Mumba with Uchi: use the lint/build gate for subsequent changes; review the explicit exceptions and resume isolated hosted Auth acceptance when its blockers are resolved. Do not weaken environment guards or rewrite applied migrations.</w:t>
      </w:r>
    </w:p>
    <w:p>
      <w:pPr>
        <w:pStyle w:val="ReportList"/>
        <w:numPr>
          <w:ilvl w:val="0"/>
          <w:numId w:val="80"/>
        </w:numPr>
      </w:pPr>
      <w:r>
        <w:t>Taizya: review the editor readiness behavior and complete genuine accessibility, mobile and file-import acceptance on a working approved environment.</w:t>
      </w:r>
    </w:p>
    <w:p>
      <w:pPr>
        <w:pStyle w:val="ReportList"/>
        <w:numPr>
          <w:ilvl w:val="0"/>
          <w:numId w:val="80"/>
        </w:numPr>
      </w:pPr>
      <w:r>
        <w:t>Lubasi: continue controlled recovery/operations evidence and the existing private-file/order acceptance criteria; keep private vendor evidence outside Git.</w:t>
      </w:r>
    </w:p>
    <w:p>
      <w:r>
        <w:t>The matching Word report uses the existing compact-reference generator. Package, OOXML, table geometry and privacy checks pass; all 239 local links across twelve reviewed Markdown files resolve. The packaged renderer was attempted using managed Python and failed to launch the absent LibreOffice executable (WinError 2). Visual pagination was not verified. Historical reports remain preserved.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