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Supplied Documents and Next Build Handover</w:t>
      </w:r>
    </w:p>
    <w:p>
      <w:r>
        <w:rPr>
          <w:b/>
        </w:rPr>
        <w:t>Date:</w:t>
      </w:r>
      <w:r>
        <w:t xml:space="preserve"> 9 October 2026. </w:t>
      </w:r>
      <w:r>
        <w:rPr>
          <w:b/>
        </w:rPr>
        <w:t>Company:</w:t>
      </w:r>
      <w:r>
        <w:t xml:space="preserve"> Shadow Root Security Technologies. </w:t>
      </w:r>
      <w:r>
        <w:rPr>
          <w:b/>
        </w:rPr>
        <w:t>Status:</w:t>
      </w:r>
      <w:r>
        <w:t xml:space="preserve"> Supplied documents reviewed and build instructions updated. Product/technical acceptance is pending; this is a documentation handover.</w:t>
      </w:r>
    </w:p>
    <w:p>
      <w:pPr>
        <w:pStyle w:val="Heading1"/>
      </w:pPr>
      <w:r>
        <w:t>Source documents used</w:t>
      </w:r>
    </w:p>
    <w:p>
      <w:pPr>
        <w:pStyle w:val="ReportList"/>
        <w:numPr>
          <w:ilvl w:val="0"/>
          <w:numId w:val="80"/>
        </w:numPr>
      </w:pPr>
      <w:r>
        <w:t>Virtual_Ink_Backend_Phase_2_Build_Plan.pdf: seven pages; roles, schema, API contracts, denial tests and the web-first roadmap.</w:t>
      </w:r>
    </w:p>
    <w:p>
      <w:pPr>
        <w:pStyle w:val="ReportList"/>
        <w:numPr>
          <w:ilvl w:val="0"/>
          <w:numId w:val="80"/>
        </w:numPr>
      </w:pPr>
      <w:r>
        <w:t>Virtual_Ink_Security_Architecture_and_Flow.pdf: six pages; trust boundaries, private files, request flow, threat controls and security gates.</w:t>
      </w:r>
    </w:p>
    <w:p>
      <w:pPr>
        <w:pStyle w:val="ReportList"/>
        <w:numPr>
          <w:ilvl w:val="0"/>
          <w:numId w:val="80"/>
        </w:numPr>
      </w:pPr>
      <w:r>
        <w:t>Virtual_Ink_Escrow_Engine_Build_Specification.pdf: seven pages; later simulated ledger, state machine, verification, release, refund, dispute and reconciliation.</w:t>
      </w:r>
    </w:p>
    <w:p>
      <w:r>
        <w:t>All three have revision 8 October 2026. They were supplied in the repository root and remain unchanged. Their blank signoff records do not record team approval. PDF references in the new baseline use viewer page numbers, including the cover.</w:t>
      </w:r>
    </w:p>
    <w:p>
      <w:pPr>
        <w:pStyle w:val="Heading1"/>
      </w:pPr>
      <w:r>
        <w:t>What changed</w:t>
      </w:r>
    </w:p>
    <w:p>
      <w:r>
        <w:t>The build plan now uses these sources. A source-document baseline maps proposed tables/endpoints to existing code and records the missing controls. A draft acceptance record makes the next membership-list endpoint reviewable. README, permissions, Phase 2 status, task board and open questions point to the new sequence.</w:t>
      </w:r>
    </w:p>
    <w:p>
      <w:r>
        <w:t>Existing users/identities and split immutable access/provisioning audit tables are retained. Request context remains server-set transaction context; open questions remain in versioned documentation. Proposed table names do not require replacement of the current schema. No database migration or application code changed.</w:t>
      </w:r>
    </w:p>
    <w:p>
      <w:r>
        <w:t>The frontend lockfile and Next-generated configuration changes now present are existing local work. They were not changed or verified by this handover. Supplied PDFs and the new root image were preserved; the image was not treated as a replacement for the approved Virtual Ink logo.</w:t>
      </w:r>
    </w:p>
    <w:p>
      <w:pPr>
        <w:pStyle w:val="Heading1"/>
      </w:pPr>
      <w:r>
        <w:t>Delivered versus still missing</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Requirement</w:t>
            </w:r>
          </w:p>
        </w:tc>
        <w:tc>
          <w:tcPr>
            <w:tcW w:type="dxa" w:w="3100"/>
            <w:vAlign w:val="center"/>
            <w:shd w:val="clear" w:fill="E8EEF5"/>
          </w:tcPr>
          <w:p>
            <w:pPr>
              <w:pStyle w:val="ReportTableText"/>
            </w:pPr>
            <w:r>
              <w:rPr>
                <w:b/>
              </w:rPr>
              <w:t>Current evidence</w:t>
            </w:r>
          </w:p>
        </w:tc>
        <w:tc>
          <w:tcPr>
            <w:tcW w:type="dxa" w:w="4160"/>
            <w:vAlign w:val="center"/>
            <w:shd w:val="clear" w:fill="E8EEF5"/>
          </w:tcPr>
          <w:p>
            <w:pPr>
              <w:pStyle w:val="ReportTableText"/>
            </w:pPr>
            <w:r>
              <w:rPr>
                <w:b/>
              </w:rPr>
              <w:t>Remaining gate</w:t>
            </w:r>
          </w:p>
        </w:tc>
      </w:tr>
      <w:tr>
        <w:trPr>
          <w:cantSplit/>
        </w:trPr>
        <w:tc>
          <w:tcPr>
            <w:tcW w:type="dxa" w:w="2100"/>
            <w:vAlign w:val="center"/>
          </w:tcPr>
          <w:p>
            <w:pPr>
              <w:pStyle w:val="ReportTableText"/>
            </w:pPr>
            <w:r>
              <w:t>Health/config/backend helpers</w:t>
            </w:r>
          </w:p>
        </w:tc>
        <w:tc>
          <w:tcPr>
            <w:tcW w:type="dxa" w:w="3100"/>
            <w:vAlign w:val="center"/>
          </w:tcPr>
          <w:p>
            <w:pPr>
              <w:pStyle w:val="ReportTableText"/>
            </w:pPr>
            <w:r>
              <w:t>Prior backend evidence</w:t>
            </w:r>
          </w:p>
        </w:tc>
        <w:tc>
          <w:tcPr>
            <w:tcW w:type="dxa" w:w="4160"/>
            <w:vAlign w:val="center"/>
          </w:tcPr>
          <w:p>
            <w:pPr>
              <w:pStyle w:val="ReportTableText"/>
            </w:pPr>
            <w:r>
              <w:t>Preserve contracts</w:t>
            </w:r>
          </w:p>
        </w:tc>
      </w:tr>
      <w:tr>
        <w:trPr>
          <w:cantSplit/>
        </w:trPr>
        <w:tc>
          <w:tcPr>
            <w:tcW w:type="dxa" w:w="2100"/>
            <w:vAlign w:val="center"/>
          </w:tcPr>
          <w:p>
            <w:pPr>
              <w:pStyle w:val="ReportTableText"/>
            </w:pPr>
            <w:r>
              <w:t>Identity and tenant read</w:t>
            </w:r>
          </w:p>
        </w:tc>
        <w:tc>
          <w:tcPr>
            <w:tcW w:type="dxa" w:w="3100"/>
            <w:vAlign w:val="center"/>
          </w:tcPr>
          <w:p>
            <w:pPr>
              <w:pStyle w:val="ReportTableText"/>
            </w:pPr>
            <w:r>
              <w:t>Code and hosted SQL assertions</w:t>
            </w:r>
          </w:p>
        </w:tc>
        <w:tc>
          <w:tcPr>
            <w:tcW w:type="dxa" w:w="4160"/>
            <w:vAlign w:val="center"/>
          </w:tcPr>
          <w:p>
            <w:pPr>
              <w:pStyle w:val="ReportTableText"/>
            </w:pPr>
            <w:r>
              <w:t>Genuine Auth-to-API verification</w:t>
            </w:r>
          </w:p>
        </w:tc>
      </w:tr>
      <w:tr>
        <w:trPr>
          <w:cantSplit/>
        </w:trPr>
        <w:tc>
          <w:tcPr>
            <w:tcW w:type="dxa" w:w="2100"/>
            <w:vAlign w:val="center"/>
          </w:tcPr>
          <w:p>
            <w:pPr>
              <w:pStyle w:val="ReportTableText"/>
            </w:pPr>
            <w:r>
              <w:t>Private provisioning</w:t>
            </w:r>
          </w:p>
        </w:tc>
        <w:tc>
          <w:tcPr>
            <w:tcW w:type="dxa" w:w="3100"/>
            <w:vAlign w:val="center"/>
          </w:tcPr>
          <w:p>
            <w:pPr>
              <w:pStyle w:val="ReportTableText"/>
            </w:pPr>
            <w:r>
              <w:t>CLI and immutable commit audits</w:t>
            </w:r>
          </w:p>
        </w:tc>
        <w:tc>
          <w:tcPr>
            <w:tcW w:type="dxa" w:w="4160"/>
            <w:vAlign w:val="center"/>
          </w:tcPr>
          <w:p>
            <w:pPr>
              <w:pStyle w:val="ReportTableText"/>
            </w:pPr>
            <w:r>
              <w:t>Approved genuine onboarding</w:t>
            </w:r>
          </w:p>
        </w:tc>
      </w:tr>
      <w:tr>
        <w:trPr>
          <w:cantSplit/>
        </w:trPr>
        <w:tc>
          <w:tcPr>
            <w:tcW w:type="dxa" w:w="2100"/>
            <w:vAlign w:val="center"/>
          </w:tcPr>
          <w:p>
            <w:pPr>
              <w:pStyle w:val="ReportTableText"/>
            </w:pPr>
            <w:r>
              <w:t>Membership list</w:t>
            </w:r>
          </w:p>
        </w:tc>
        <w:tc>
          <w:tcPr>
            <w:tcW w:type="dxa" w:w="3100"/>
            <w:vAlign w:val="center"/>
          </w:tcPr>
          <w:p>
            <w:pPr>
              <w:pStyle w:val="ReportTableText"/>
            </w:pPr>
            <w:r>
              <w:t>No endpoint yet</w:t>
            </w:r>
          </w:p>
        </w:tc>
        <w:tc>
          <w:tcPr>
            <w:tcW w:type="dxa" w:w="4160"/>
            <w:vAlign w:val="center"/>
          </w:tcPr>
          <w:p>
            <w:pPr>
              <w:pStyle w:val="ReportTableText"/>
            </w:pPr>
            <w:r>
              <w:t>Draft acceptance, scoped list and tests</w:t>
            </w:r>
          </w:p>
        </w:tc>
      </w:tr>
      <w:tr>
        <w:trPr>
          <w:cantSplit/>
        </w:trPr>
        <w:tc>
          <w:tcPr>
            <w:tcW w:type="dxa" w:w="2100"/>
            <w:vAlign w:val="center"/>
          </w:tcPr>
          <w:p>
            <w:pPr>
              <w:pStyle w:val="ReportTableText"/>
            </w:pPr>
            <w:r>
              <w:t>Membership creation/change HTTP</w:t>
            </w:r>
          </w:p>
        </w:tc>
        <w:tc>
          <w:tcPr>
            <w:tcW w:type="dxa" w:w="3100"/>
            <w:vAlign w:val="center"/>
          </w:tcPr>
          <w:p>
            <w:pPr>
              <w:pStyle w:val="ReportTableText"/>
            </w:pPr>
            <w:r>
              <w:t>No endpoints yet</w:t>
            </w:r>
          </w:p>
        </w:tc>
        <w:tc>
          <w:tcPr>
            <w:tcW w:type="dxa" w:w="4160"/>
            <w:vAlign w:val="center"/>
          </w:tcPr>
          <w:p>
            <w:pPr>
              <w:pStyle w:val="ReportTableText"/>
            </w:pPr>
            <w:r>
              <w:t>Invite/lifecycle authority and audited mutations</w:t>
            </w:r>
          </w:p>
        </w:tc>
      </w:tr>
      <w:tr>
        <w:trPr>
          <w:cantSplit/>
        </w:trPr>
        <w:tc>
          <w:tcPr>
            <w:tcW w:type="dxa" w:w="2100"/>
            <w:vAlign w:val="center"/>
          </w:tcPr>
          <w:p>
            <w:pPr>
              <w:pStyle w:val="ReportTableText"/>
            </w:pPr>
            <w:r>
              <w:t>Audit review</w:t>
            </w:r>
          </w:p>
        </w:tc>
        <w:tc>
          <w:tcPr>
            <w:tcW w:type="dxa" w:w="3100"/>
            <w:vAlign w:val="center"/>
          </w:tcPr>
          <w:p>
            <w:pPr>
              <w:pStyle w:val="ReportTableText"/>
            </w:pPr>
            <w:r>
              <w:t>No endpoint; API cannot read audits</w:t>
            </w:r>
          </w:p>
        </w:tc>
        <w:tc>
          <w:tcPr>
            <w:tcW w:type="dxa" w:w="4160"/>
            <w:vAlign w:val="center"/>
          </w:tcPr>
          <w:p>
            <w:pPr>
              <w:pStyle w:val="ReportTableText"/>
            </w:pPr>
            <w:r>
              <w:t>Purpose-bound grants and redacted lists</w:t>
            </w:r>
          </w:p>
        </w:tc>
      </w:tr>
      <w:tr>
        <w:trPr>
          <w:cantSplit/>
        </w:trPr>
        <w:tc>
          <w:tcPr>
            <w:tcW w:type="dxa" w:w="2100"/>
            <w:vAlign w:val="center"/>
          </w:tcPr>
          <w:p>
            <w:pPr>
              <w:pStyle w:val="ReportTableText"/>
            </w:pPr>
            <w:r>
              <w:t>Escrow</w:t>
            </w:r>
          </w:p>
        </w:tc>
        <w:tc>
          <w:tcPr>
            <w:tcW w:type="dxa" w:w="3100"/>
            <w:vAlign w:val="center"/>
          </w:tcPr>
          <w:p>
            <w:pPr>
              <w:pStyle w:val="ReportTableText"/>
            </w:pPr>
            <w:r>
              <w:t>Supplied future specification</w:t>
            </w:r>
          </w:p>
        </w:tc>
        <w:tc>
          <w:tcPr>
            <w:tcW w:type="dxa" w:w="4160"/>
            <w:vAlign w:val="center"/>
          </w:tcPr>
          <w:p>
            <w:pPr>
              <w:pStyle w:val="ReportTableText"/>
            </w:pPr>
            <w:r>
              <w:t>Complete state/ledger contract; simulation only</w:t>
            </w:r>
          </w:p>
        </w:tc>
      </w:tr>
    </w:tbl>
    <w:p>
      <w:pPr>
        <w:spacing w:after="80"/>
      </w:pPr>
    </w:p>
    <w:p>
      <w:r>
        <w:t>The last completed backend build recorded 78 passing tests and eight private application tables. Those tests were not rerun in this documentation handover. There is no new claim of real login, money movement or production readiness.</w:t>
      </w:r>
    </w:p>
    <w:p>
      <w:pPr>
        <w:pStyle w:val="Heading1"/>
      </w:pPr>
      <w:r>
        <w:t>Ordered next work</w:t>
      </w:r>
    </w:p>
    <w:p>
      <w:pPr>
        <w:pStyle w:val="ReportList"/>
        <w:numPr>
          <w:ilvl w:val="0"/>
          <w:numId w:val="80"/>
        </w:numPr>
      </w:pPr>
      <w:r>
        <w:t>First: Uchi records permission/onboarding decisions; Mumba completes private driver, credentials, CA and service-login setup using live-backend-setup.md. Obtain genuine Auth smoke and committed audit evidence without reporting secrets.</w:t>
      </w:r>
    </w:p>
    <w:p>
      <w:pPr>
        <w:pStyle w:val="ReportList"/>
        <w:numPr>
          <w:ilvl w:val="0"/>
          <w:numId w:val="80"/>
        </w:numPr>
      </w:pPr>
      <w:r>
        <w:t>Next: implement only GET /api/v1/memberships from the draft acceptance record. Derive caller scope on the server; hide other/inactive memberships; preserve DeliveryPartner exclusion and fail-closed audit/commit behavior.</w:t>
      </w:r>
    </w:p>
    <w:p>
      <w:pPr>
        <w:pStyle w:val="ReportList"/>
        <w:numPr>
          <w:ilvl w:val="0"/>
          <w:numId w:val="80"/>
        </w:numPr>
      </w:pPr>
      <w:r>
        <w:t>Then: address session revocation/abuse controls, audited membership lifecycle and restricted audit review in separate slices. Replay owned PostgreSQL safely and obtain Uchi's review before declaring Backend Phase 2 complete.</w:t>
      </w:r>
    </w:p>
    <w:p>
      <w:pPr>
        <w:pStyle w:val="ReportList"/>
        <w:numPr>
          <w:ilvl w:val="0"/>
          <w:numId w:val="80"/>
        </w:numPr>
      </w:pPr>
      <w:r>
        <w:t>After: deliver the accepted first web marketplace flow; then private files/design briefs after retention, quarantine and access policy are agreed.</w:t>
      </w:r>
    </w:p>
    <w:p>
      <w:pPr>
        <w:pStyle w:val="ReportList"/>
        <w:numPr>
          <w:ilvl w:val="0"/>
          <w:numId w:val="80"/>
        </w:numPr>
      </w:pPr>
      <w:r>
        <w:t>Later: follow the escrow specification's simulated ledger/state/verification/ release/refund/dispute/reconciliation sequence. Native clients use the same API after web/API and release gates are satisfied.</w:t>
      </w:r>
    </w:p>
    <w:p>
      <w:r>
        <w:t>Frontend shell verification can proceed alongside backend setup. The observed loopback check to port 3001 did not connect; no browser/mobile/build success is claimed. Review the new lockfile, run typecheck/build and start the preview before Taizya's UI review.</w:t>
      </w:r>
    </w:p>
    <w:p>
      <w:pPr>
        <w:pStyle w:val="Heading1"/>
      </w:pPr>
      <w:r>
        <w:t>Decisions requiring team input</w:t>
      </w:r>
    </w:p>
    <w:p>
      <w:r>
        <w:t>The Phase 2 PDF asks for immediate membership deactivation. Current transaction snapshot behavior does not prove immediate denial for requests already in flight. AUTH-02 captures the required guarantee and concurrency review.</w:t>
      </w:r>
    </w:p>
    <w:p>
      <w:r>
        <w:t>The escrow transition table names FAILED, CANCELLED, REFUNDED and DISPUTED without complete transition definitions. Cancellation during production lacks a specified settlement path. Partial outcomes, balancing accounts, idempotency/concurrency, release evidence and decision authority need an accepted contract. ESC-01 through ESC-04 capture these questions. No settlement provider, fee, tax or release rule was invented. Audit review, membership authority and rate-limit/MFA policy also have named questions in the updated document.</w:t>
      </w:r>
    </w:p>
    <w:p>
      <w:pPr>
        <w:pStyle w:val="Heading1"/>
      </w:pPr>
      <w:r>
        <w:t>Where each lead starts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Lead</w:t>
            </w:r>
          </w:p>
        </w:tc>
        <w:tc>
          <w:tcPr>
            <w:tcW w:type="dxa" w:w="3100"/>
            <w:vAlign w:val="center"/>
            <w:shd w:val="clear" w:fill="E8EEF5"/>
          </w:tcPr>
          <w:p>
            <w:pPr>
              <w:pStyle w:val="ReportTableText"/>
            </w:pPr>
            <w:r>
              <w:rPr>
                <w:b/>
              </w:rPr>
              <w:t>Starting action</w:t>
            </w:r>
          </w:p>
        </w:tc>
        <w:tc>
          <w:tcPr>
            <w:tcW w:type="dxa" w:w="4160"/>
            <w:vAlign w:val="center"/>
            <w:shd w:val="clear" w:fill="E8EEF5"/>
          </w:tcPr>
          <w:p>
            <w:pPr>
              <w:pStyle w:val="ReportTableText"/>
            </w:pPr>
            <w:r>
              <w:rPr>
                <w:b/>
              </w:rPr>
              <w:t>Handover evidence</w:t>
            </w:r>
          </w:p>
        </w:tc>
      </w:tr>
      <w:tr>
        <w:trPr>
          <w:cantSplit/>
        </w:trPr>
        <w:tc>
          <w:tcPr>
            <w:tcW w:type="dxa" w:w="2100"/>
            <w:vAlign w:val="center"/>
          </w:tcPr>
          <w:p>
            <w:pPr>
              <w:pStyle w:val="ReportTableText"/>
            </w:pPr>
            <w:r>
              <w:t>Uchi Chinyama</w:t>
            </w:r>
          </w:p>
        </w:tc>
        <w:tc>
          <w:tcPr>
            <w:tcW w:type="dxa" w:w="3100"/>
            <w:vAlign w:val="center"/>
          </w:tcPr>
          <w:p>
            <w:pPr>
              <w:pStyle w:val="ReportTableText"/>
            </w:pPr>
            <w:r>
              <w:t>Review Phase 2 gaps and membership-read draft</w:t>
            </w:r>
          </w:p>
        </w:tc>
        <w:tc>
          <w:tcPr>
            <w:tcW w:type="dxa" w:w="4160"/>
            <w:vAlign w:val="center"/>
          </w:tcPr>
          <w:p>
            <w:pPr>
              <w:pStyle w:val="ReportTableText"/>
            </w:pPr>
            <w:r>
              <w:t>Recorded criteria/permission decisions</w:t>
            </w:r>
          </w:p>
        </w:tc>
      </w:tr>
      <w:tr>
        <w:trPr>
          <w:cantSplit/>
        </w:trPr>
        <w:tc>
          <w:tcPr>
            <w:tcW w:type="dxa" w:w="2100"/>
            <w:vAlign w:val="center"/>
          </w:tcPr>
          <w:p>
            <w:pPr>
              <w:pStyle w:val="ReportTableText"/>
            </w:pPr>
            <w:r>
              <w:t>Mumba Chitonge</w:t>
            </w:r>
          </w:p>
        </w:tc>
        <w:tc>
          <w:tcPr>
            <w:tcW w:type="dxa" w:w="3100"/>
            <w:vAlign w:val="center"/>
          </w:tcPr>
          <w:p>
            <w:pPr>
              <w:pStyle w:val="ReportTableText"/>
            </w:pPr>
            <w:r>
              <w:t>Complete live setup; build scoped membership read</w:t>
            </w:r>
          </w:p>
        </w:tc>
        <w:tc>
          <w:tcPr>
            <w:tcW w:type="dxa" w:w="4160"/>
            <w:vAlign w:val="center"/>
          </w:tcPr>
          <w:p>
            <w:pPr>
              <w:pStyle w:val="ReportTableText"/>
            </w:pPr>
            <w:r>
              <w:t>Genuine smoke, tests, migrations/audits</w:t>
            </w:r>
          </w:p>
        </w:tc>
      </w:tr>
      <w:tr>
        <w:trPr>
          <w:cantSplit/>
        </w:trPr>
        <w:tc>
          <w:tcPr>
            <w:tcW w:type="dxa" w:w="2100"/>
            <w:vAlign w:val="center"/>
          </w:tcPr>
          <w:p>
            <w:pPr>
              <w:pStyle w:val="ReportTableText"/>
            </w:pPr>
            <w:r>
              <w:t>Taizya Nakapende</w:t>
            </w:r>
          </w:p>
        </w:tc>
        <w:tc>
          <w:tcPr>
            <w:tcW w:type="dxa" w:w="3100"/>
            <w:vAlign w:val="center"/>
          </w:tcPr>
          <w:p>
            <w:pPr>
              <w:pStyle w:val="ReportTableText"/>
            </w:pPr>
            <w:r>
              <w:t>Review shell and membership/session UI states</w:t>
            </w:r>
          </w:p>
        </w:tc>
        <w:tc>
          <w:tcPr>
            <w:tcW w:type="dxa" w:w="4160"/>
            <w:vAlign w:val="center"/>
          </w:tcPr>
          <w:p>
            <w:pPr>
              <w:pStyle w:val="ReportTableText"/>
            </w:pPr>
            <w:r>
              <w:t>Mobile, keyboard and denied/empty UX</w:t>
            </w:r>
          </w:p>
        </w:tc>
      </w:tr>
      <w:tr>
        <w:trPr>
          <w:cantSplit/>
        </w:trPr>
        <w:tc>
          <w:tcPr>
            <w:tcW w:type="dxa" w:w="2100"/>
            <w:vAlign w:val="center"/>
          </w:tcPr>
          <w:p>
            <w:pPr>
              <w:pStyle w:val="ReportTableText"/>
            </w:pPr>
            <w:r>
              <w:t>Lubasi Monde</w:t>
            </w:r>
          </w:p>
        </w:tc>
        <w:tc>
          <w:tcPr>
            <w:tcW w:type="dxa" w:w="3100"/>
            <w:vAlign w:val="center"/>
          </w:tcPr>
          <w:p>
            <w:pPr>
              <w:pStyle w:val="ReportTableText"/>
            </w:pPr>
            <w:r>
              <w:t>Verify owner/staff and support procedures</w:t>
            </w:r>
          </w:p>
        </w:tc>
        <w:tc>
          <w:tcPr>
            <w:tcW w:type="dxa" w:w="4160"/>
            <w:vAlign w:val="center"/>
          </w:tcPr>
          <w:p>
            <w:pPr>
              <w:pStyle w:val="ReportTableText"/>
            </w:pPr>
            <w:r>
              <w:t>Private evidence references; unresolved rules</w:t>
            </w:r>
          </w:p>
        </w:tc>
      </w:tr>
    </w:tbl>
    <w:p>
      <w:pPr>
        <w:spacing w:after="80"/>
      </w:pPr>
    </w:p>
    <w:p>
      <w:pPr>
        <w:pStyle w:val="Heading1"/>
      </w:pPr>
      <w:r>
        <w:t>Verification and limitations</w:t>
      </w:r>
    </w:p>
    <w:p>
      <w:r>
        <w:t>All 20 PDF pages were text-extracted using the managed Python runtime. Pages were rendered with pypdfium2, and all three overview sheets were inspected for document structure, flow diagrams and the state table. SHA-256 checks verify the originals are unchanged. Updated documentation links and Git whitespace checks were checked.</w:t>
      </w:r>
    </w:p>
    <w:p>
      <w:r>
        <w:t>The Word generator validates ZIP/XML, named styles, table geometry and obvious credential patterns. Word visual rendering was attempted but LibreOffice is absent; visual QA remains unavailable. No backend tests, frontend build, live Auth request or database operation was performed for this documentation-only handover.</w:t>
      </w:r>
    </w:p>
    <w:p>
      <w:r>
        <w:t>Changed files: README.md; docs/build-plan.md; docs/backend-phase-2.md; docs/permissions-plan.md; docs/open-questions.md; docs/task-board.md; docs/team-report.md. Created: docs/source-document-baseline.md; docs/acceptance-phase-2-membership-read.md; this dated Markdown report and matching Word document. Historical reports and user-provided work remain preserved.</w:t>
      </w:r>
    </w:p>
    <w:p>
      <w:pPr>
        <w:pStyle w:val="Heading1"/>
      </w:pPr>
      <w:r>
        <w:t>Next prompt for Mumba</w:t>
      </w:r>
    </w:p>
    <w:p>
      <w:r>
        <w:t>Use the three supplied PDFs and docs/source-document-baseline.md to continue Virtual Ink Backend Phase 2. Inspect the current repository; preserve the existing schema and provisioning boundary. Finish genuine login readiness where approved private settings permit. Implement only the active membership read from its draft acceptance record with server-derived scope, bounded pagination, delivery exclusions and transactional audits. Verify allow/deny, inactive, cross-user, pool reuse and audit/commit failures. Keep lifecycle mutations, broad audit reads, marketplace, uploads and escrow outside this slice. Record actual blockers and produce the next Markdown/Word team report; Uchi records product acceptance separately.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