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Fonts and 3D Shirt Preview</w:t>
      </w:r>
    </w:p>
    <w:p>
      <w:r>
        <w:t>Date: 12 October 2026</w:t>
      </w:r>
    </w:p>
    <w:p>
      <w:r>
        <w:t>Company: Shadow Root Security Technologies</w:t>
      </w:r>
    </w:p>
    <w:p>
      <w:r>
        <w:t>Scope: Bundled font selection and an interactive local 3D T-shirt concept preview.</w:t>
      </w:r>
    </w:p>
    <w:p>
      <w:r>
        <w:t>Status: Engineering delivery for review. Human acceptance and genuine onboarding remain open.</w:t>
      </w:r>
    </w:p>
    <w:p>
      <w:pPr>
        <w:pStyle w:val="Heading1"/>
      </w:pPr>
      <w:r>
        <w:t>What changed</w:t>
      </w:r>
    </w:p>
    <w:p>
      <w:r>
        <w:t>The editor now offers Poppins, Space Grotesk, Bebas Neue, Playfair Display, Caveat, Arial and Georgia with visible type samples and accessible radio controls. Four additional font families are bundled with the application. The canvas waits for the selected font before rendering text, including PNG export. Bebas Neue uses its supplied regular weight. Existing version-1 drafts remain compatible.</w:t>
      </w:r>
    </w:p>
    <w:p>
      <w:r>
        <w:t>The 3D shirt uses a fixed procedural mesh with front/back surfaces, curved torso, approximate folds and edge depth. Its front texture shares the 2D text/artwork coordinates. Front, back, reset, zoom, pointer rotation and keyboard arrows are provided. The back is unprinted; viewing does not change design history. PNG downloads remain 2D concept layouts. This is an illustrative model, not a vendor garment, measurement, cloth simulation or production proof.</w:t>
      </w:r>
    </w:p>
    <w:p>
      <w:r>
        <w:t>Three.js 0.186.1, TypeScript definitions and four font packages use exact versions with the web lockfile updated. The renderer loads only when 3D is selected and renders on demand. Closing it disposes GPU resources, observers and pending frames. WebGL failure provides a return-to-2D control. The initial taller font list pushed the preview down; bounded font scrolling and preview alignment correct that defect.</w:t>
      </w:r>
    </w:p>
    <w:p>
      <w:r>
        <w:t>Existing source, supplied assets, historical reports and saved drafts were preserved. No database, authorization, credential, hosted service or deployment changed. Uchi reports artwork working; this is user-reported evidence, not an automated raster-decoder acceptance result.</w:t>
      </w:r>
    </w:p>
    <w:p>
      <w:pPr>
        <w:pStyle w:val="Heading1"/>
      </w:pPr>
      <w:r>
        <w:t>Actual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Root suite</w:t>
            </w:r>
          </w:p>
        </w:tc>
        <w:tc>
          <w:tcPr>
            <w:tcW w:type="dxa" w:w="6060"/>
            <w:vAlign w:val="center"/>
          </w:tcPr>
          <w:p>
            <w:pPr>
              <w:pStyle w:val="ReportTableText"/>
            </w:pPr>
            <w:r>
              <w:t>121 passed, zero failures</w:t>
            </w:r>
          </w:p>
        </w:tc>
      </w:tr>
      <w:tr>
        <w:trPr>
          <w:cantSplit/>
        </w:trPr>
        <w:tc>
          <w:tcPr>
            <w:tcW w:type="dxa" w:w="3300"/>
            <w:vAlign w:val="center"/>
          </w:tcPr>
          <w:p>
            <w:pPr>
              <w:pStyle w:val="ReportTableText"/>
            </w:pPr>
            <w:r>
              <w:t>React rendering and mesh checks</w:t>
            </w:r>
          </w:p>
        </w:tc>
        <w:tc>
          <w:tcPr>
            <w:tcW w:type="dxa" w:w="6060"/>
            <w:vAlign w:val="center"/>
          </w:tcPr>
          <w:p>
            <w:pPr>
              <w:pStyle w:val="ReportTableText"/>
            </w:pPr>
            <w:r>
              <w:t>7 passed, zero failures</w:t>
            </w:r>
          </w:p>
        </w:tc>
      </w:tr>
      <w:tr>
        <w:trPr>
          <w:cantSplit/>
        </w:trPr>
        <w:tc>
          <w:tcPr>
            <w:tcW w:type="dxa" w:w="3300"/>
            <w:vAlign w:val="center"/>
          </w:tcPr>
          <w:p>
            <w:pPr>
              <w:pStyle w:val="ReportTableText"/>
            </w:pPr>
            <w:r>
              <w:t>Security regression subset</w:t>
            </w:r>
          </w:p>
        </w:tc>
        <w:tc>
          <w:tcPr>
            <w:tcW w:type="dxa" w:w="6060"/>
            <w:vAlign w:val="center"/>
          </w:tcPr>
          <w:p>
            <w:pPr>
              <w:pStyle w:val="ReportTableText"/>
            </w:pPr>
            <w:r>
              <w:t>110 passed, zero failures</w:t>
            </w:r>
          </w:p>
        </w:tc>
      </w:tr>
      <w:tr>
        <w:trPr>
          <w:cantSplit/>
        </w:trPr>
        <w:tc>
          <w:tcPr>
            <w:tcW w:type="dxa" w:w="3300"/>
            <w:vAlign w:val="center"/>
          </w:tcPr>
          <w:p>
            <w:pPr>
              <w:pStyle w:val="ReportTableText"/>
            </w:pPr>
            <w:r>
              <w:t>Web/shared TypeScript</w:t>
            </w:r>
          </w:p>
        </w:tc>
        <w:tc>
          <w:tcPr>
            <w:tcW w:type="dxa" w:w="6060"/>
            <w:vAlign w:val="center"/>
          </w:tcPr>
          <w:p>
            <w:pPr>
              <w:pStyle w:val="ReportTableText"/>
            </w:pPr>
            <w:r>
              <w:t>Passed</w:t>
            </w:r>
          </w:p>
        </w:tc>
      </w:tr>
      <w:tr>
        <w:trPr>
          <w:cantSplit/>
        </w:trPr>
        <w:tc>
          <w:tcPr>
            <w:tcW w:type="dxa" w:w="3300"/>
            <w:vAlign w:val="center"/>
          </w:tcPr>
          <w:p>
            <w:pPr>
              <w:pStyle w:val="ReportTableText"/>
            </w:pPr>
            <w:r>
              <w:t>Runtime and repository heuristics</w:t>
            </w:r>
          </w:p>
        </w:tc>
        <w:tc>
          <w:tcPr>
            <w:tcW w:type="dxa" w:w="6060"/>
            <w:vAlign w:val="center"/>
          </w:tcPr>
          <w:p>
            <w:pPr>
              <w:pStyle w:val="ReportTableText"/>
            </w:pPr>
            <w:r>
              <w:t>Passed on reviewed private Node 24.21.0</w:t>
            </w:r>
          </w:p>
        </w:tc>
      </w:tr>
      <w:tr>
        <w:trPr>
          <w:cantSplit/>
        </w:trPr>
        <w:tc>
          <w:tcPr>
            <w:tcW w:type="dxa" w:w="3300"/>
            <w:vAlign w:val="center"/>
          </w:tcPr>
          <w:p>
            <w:pPr>
              <w:pStyle w:val="ReportTableText"/>
            </w:pPr>
            <w:r>
              <w:t>Installation and production dependency audit</w:t>
            </w:r>
          </w:p>
        </w:tc>
        <w:tc>
          <w:tcPr>
            <w:tcW w:type="dxa" w:w="6060"/>
            <w:vAlign w:val="center"/>
          </w:tcPr>
          <w:p>
            <w:pPr>
              <w:pStyle w:val="ReportTableText"/>
            </w:pPr>
            <w:r>
              <w:t>Zero reported vulnerabilities</w:t>
            </w:r>
          </w:p>
        </w:tc>
      </w:tr>
      <w:tr>
        <w:trPr>
          <w:cantSplit/>
        </w:trPr>
        <w:tc>
          <w:tcPr>
            <w:tcW w:type="dxa" w:w="3300"/>
            <w:vAlign w:val="center"/>
          </w:tcPr>
          <w:p>
            <w:pPr>
              <w:pStyle w:val="ReportTableText"/>
            </w:pPr>
            <w:r>
              <w:t>Font draft/history regression</w:t>
            </w:r>
          </w:p>
        </w:tc>
        <w:tc>
          <w:tcPr>
            <w:tcW w:type="dxa" w:w="6060"/>
            <w:vAlign w:val="center"/>
          </w:tcPr>
          <w:p>
            <w:pPr>
              <w:pStyle w:val="ReportTableText"/>
            </w:pPr>
            <w:r>
              <w:t>New choices round-trip; URL, prototype, array and object values rejected</w:t>
            </w:r>
          </w:p>
        </w:tc>
      </w:tr>
      <w:tr>
        <w:trPr>
          <w:cantSplit/>
        </w:trPr>
        <w:tc>
          <w:tcPr>
            <w:tcW w:type="dxa" w:w="3300"/>
            <w:vAlign w:val="center"/>
          </w:tcPr>
          <w:p>
            <w:pPr>
              <w:pStyle w:val="ReportTableText"/>
            </w:pPr>
            <w:r>
              <w:t>Mesh checks</w:t>
            </w:r>
          </w:p>
        </w:tc>
        <w:tc>
          <w:tcPr>
            <w:tcW w:type="dxa" w:w="6060"/>
            <w:vAlign w:val="center"/>
          </w:tcPr>
          <w:p>
            <w:pPr>
              <w:pStyle w:val="ReportTableText"/>
            </w:pPr>
            <w:r>
              <w:t>Finite bounded front/back geometry and texture coordinates pass</w:t>
            </w:r>
          </w:p>
        </w:tc>
      </w:tr>
      <w:tr>
        <w:trPr>
          <w:cantSplit/>
        </w:trPr>
        <w:tc>
          <w:tcPr>
            <w:tcW w:type="dxa" w:w="3300"/>
            <w:vAlign w:val="center"/>
          </w:tcPr>
          <w:p>
            <w:pPr>
              <w:pStyle w:val="ReportTableText"/>
            </w:pPr>
            <w:r>
              <w:t>Chrome controls</w:t>
            </w:r>
          </w:p>
        </w:tc>
        <w:tc>
          <w:tcPr>
            <w:tcW w:type="dxa" w:w="6060"/>
            <w:vAlign w:val="center"/>
          </w:tcPr>
          <w:p>
            <w:pPr>
              <w:pStyle w:val="ReportTableText"/>
            </w:pPr>
            <w:r>
              <w:t>Font selection, colour, 3D initialization, front/back, zoom, reset and keyboard rotation pass</w:t>
            </w:r>
          </w:p>
        </w:tc>
      </w:tr>
      <w:tr>
        <w:trPr>
          <w:cantSplit/>
        </w:trPr>
        <w:tc>
          <w:tcPr>
            <w:tcW w:type="dxa" w:w="3300"/>
            <w:vAlign w:val="center"/>
          </w:tcPr>
          <w:p>
            <w:pPr>
              <w:pStyle w:val="ReportTableText"/>
            </w:pPr>
            <w:r>
              <w:t>Final production build</w:t>
            </w:r>
          </w:p>
        </w:tc>
        <w:tc>
          <w:tcPr>
            <w:tcW w:type="dxa" w:w="6060"/>
            <w:vAlign w:val="center"/>
          </w:tcPr>
          <w:p>
            <w:pPr>
              <w:pStyle w:val="ReportTableText"/>
            </w:pPr>
            <w:r>
              <w:t>Passed after the layout fix, on private Node 24.21.0</w:t>
            </w:r>
          </w:p>
        </w:tc>
      </w:tr>
      <w:tr>
        <w:trPr>
          <w:cantSplit/>
        </w:trPr>
        <w:tc>
          <w:tcPr>
            <w:tcW w:type="dxa" w:w="3300"/>
            <w:vAlign w:val="center"/>
          </w:tcPr>
          <w:p>
            <w:pPr>
              <w:pStyle w:val="ReportTableText"/>
            </w:pPr>
            <w:r>
              <w:t>Rebuilt loopback HTTP harness</w:t>
            </w:r>
          </w:p>
        </w:tc>
        <w:tc>
          <w:tcPr>
            <w:tcW w:type="dxa" w:w="6060"/>
            <w:vAlign w:val="center"/>
          </w:tcPr>
          <w:p>
            <w:pPr>
              <w:pStyle w:val="ReportTableText"/>
            </w:pPr>
            <w:r>
              <w:t>49 assertions passed</w:t>
            </w:r>
          </w:p>
        </w:tc>
      </w:tr>
      <w:tr>
        <w:trPr>
          <w:cantSplit/>
        </w:trPr>
        <w:tc>
          <w:tcPr>
            <w:tcW w:type="dxa" w:w="3300"/>
            <w:vAlign w:val="center"/>
          </w:tcPr>
          <w:p>
            <w:pPr>
              <w:pStyle w:val="ReportTableText"/>
            </w:pPr>
            <w:r>
              <w:t>Responsive geometry</w:t>
            </w:r>
          </w:p>
        </w:tc>
        <w:tc>
          <w:tcPr>
            <w:tcW w:type="dxa" w:w="6060"/>
            <w:vAlign w:val="center"/>
          </w:tcPr>
          <w:p>
            <w:pPr>
              <w:pStyle w:val="ReportTableText"/>
            </w:pPr>
            <w:r>
              <w:t>No horizontal overflow at 1440, 1024, 768, 390 and 320 pixels</w:t>
            </w:r>
          </w:p>
        </w:tc>
      </w:tr>
    </w:tbl>
    <w:p>
      <w:pPr>
        <w:spacing w:after="80"/>
      </w:pPr>
    </w:p>
    <w:p>
      <w:r>
        <w:t>Desktop shirt and full mobile screenshots were visually inspected. The rebuilt DOM confirms the corrected preview alignment. The initial build-worker spawn EPERM required an approved retry. Build warnings retain the existing missing-pg module for disabled backend routes and multiple-lockfile root selection. Source tests emit module/CJS notices. These warnings do not establish genuine backend readiness.</w:t>
      </w:r>
    </w:p>
    <w:p>
      <w:pPr>
        <w:pStyle w:val="Heading1"/>
      </w:pPr>
      <w:r>
        <w:t>Scoped security evidence</w:t>
      </w:r>
    </w:p>
    <w:p>
      <w:r>
        <w:t>An attacker needs malicious selected artwork, forged same-origin draft storage, a dependency flaw or same-origin script compromise to reach this surface. Existing admission, authority, placement and closed-upload negative tests pass. Font selection remains a strict string allowlist. No remote font/model loader, arbitrary CSS or privileged API is introduced. Fixed geometry, bounded canvas resolution, pixel ratio capped at two and stale-texture cancellation limit local resources. No new security bypass, decoder exploit or takeover was reproduced.</w:t>
      </w:r>
    </w:p>
    <w:p>
      <w:r>
        <w:t>Same-origin scripts can still read explicitly saved drafts. Decoder/GPU failures and dependency vulnerabilities remain conditional risks. Default Node 24.14.1 fails the reviewed minimum; private Node 24.21.0 passes. Official Node listings and the Next cache advisory were checked. The root catch-all condition is absent; unresolved release/advisory and bundle/history gates remain open.</w:t>
      </w:r>
    </w:p>
    <w:p>
      <w:r>
        <w:t>Tool/page output was treated as data. Probes used synthetic inputs and loopback. Required execution approvals were used; preview ownership is checked before restart. No credential, customer artwork, private vendor evidence or Word lock file was disclosed or removed. No external message, hosted write or human approval occurred. This is a scoped application review.</w:t>
      </w:r>
    </w:p>
    <w:p>
      <w:pPr>
        <w:pStyle w:val="Heading1"/>
      </w:pPr>
      <w:r>
        <w:t>Limits and next actions</w:t>
      </w:r>
    </w:p>
    <w:p>
      <w:pPr>
        <w:pStyle w:val="ReportList"/>
        <w:numPr>
          <w:ilvl w:val="0"/>
          <w:numId w:val="80"/>
        </w:numPr>
      </w:pPr>
      <w:r>
        <w:t>Uchi: Review fonts/3D with Taizya and record acceptance under UX-02/UX-03; review the next vendor registration slice.</w:t>
      </w:r>
    </w:p>
    <w:p>
      <w:pPr>
        <w:pStyle w:val="ReportList"/>
        <w:numPr>
          <w:ilvl w:val="0"/>
          <w:numId w:val="80"/>
        </w:numPr>
      </w:pPr>
      <w:r>
        <w:t>Mumba: Verify artwork texture/draft/export and WebGL failure/context loss; retain genuine Auth/pg/TLS and release gates.</w:t>
      </w:r>
    </w:p>
    <w:p>
      <w:pPr>
        <w:pStyle w:val="ReportList"/>
        <w:numPr>
          <w:ilvl w:val="0"/>
          <w:numId w:val="80"/>
        </w:numPr>
      </w:pPr>
      <w:r>
        <w:t>Taizya: Review fonts, model appearance, keyboard focus, mobile layout, screen-reader output and actual zoom.</w:t>
      </w:r>
    </w:p>
    <w:p>
      <w:pPr>
        <w:pStyle w:val="ReportList"/>
        <w:numPr>
          <w:ilvl w:val="0"/>
          <w:numId w:val="80"/>
        </w:numPr>
      </w:pPr>
      <w:r>
        <w:t>Lubasi: Supply verified garment/print/proof constraints and private vendor discovery/approval evidence.</w:t>
      </w:r>
    </w:p>
    <w:p>
      <w:r>
        <w:t>Automated artwork import remains limited by Chrome file permissions. Live artwork texture/export round-trip, context loss, assistive technology, 200% zoom, cross-browser and full accessibility checks remain open. The next slice prepares a vendor profile for review. Genuine activation still requires private provisioning and reviewed approval evidence. Server uploads and payments remain closed.</w:t>
      </w:r>
    </w:p>
    <w:p>
      <w:pPr>
        <w:pStyle w:val="Heading1"/>
      </w:pPr>
      <w:r>
        <w:t>Report checks and references</w:t>
      </w:r>
    </w:p>
    <w:p>
      <w:r>
        <w:t>The Word report uses the existing compact_reference_guide preset and memo_masthead pattern, with the generator's named title/code/table overrides. The generator checks XML/package integrity and explicit table geometry; a separate content, privacy, preset and local-link audit accompanies delivery. LibreOffice is absent; Word rendering and visual QA cannot be completed.</w:t>
      </w:r>
    </w:p>
    <w:p>
      <w:r>
        <w:t>Official references: https://threejs.org/docs/pages/CanvasTexture.html, https://threejs.org/docs/pages/WebGLRenderer.html, https://nodejs.org/en/blog/vulnerability and https://github.com/vercel/next.js/security/advisories/GHSA-mcj8-r9mp-w47p.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