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and vendor MFA — Phase 1 handover</w:t>
      </w:r>
    </w:p>
    <w:p>
      <w:r>
        <w:t>22 October 2026. Virtual Ink / Shadow Root Security Technologies.</w:t>
      </w:r>
    </w:p>
    <w:p>
      <w:r>
        <w:rPr>
          <w:b/>
        </w:rPr>
        <w:t>Review slice implemented; Phase 1 remains INCOMPLETE / NO-GO.</w:t>
      </w:r>
      <w:r>
        <w:t xml:space="preserve"> Uchi Chinyama and Mumba Chitonge own backend engineering, Taizya design and Lubasi operational acceptance. No human signoff, production readiness or phase completion is claimed.</w:t>
      </w:r>
    </w:p>
    <w:p>
      <w:pPr>
        <w:pStyle w:val="Heading1"/>
      </w:pPr>
      <w:r>
        <w:t>Source and environment evidence</w:t>
      </w:r>
    </w:p>
    <w:p>
      <w:r>
        <w:t xml:space="preserve">Implementation commit: </w:t>
      </w:r>
      <w:r>
        <w:rPr>
          <w:rFonts w:ascii="Consolas" w:hAnsi="Consolas"/>
          <w:sz w:val="20"/>
        </w:rPr>
        <w:t>4b6e7e18ff74ee37f9d9a80d43dda66515c86b50</w:t>
      </w:r>
      <w:r>
        <w:t xml:space="preserve">, branch </w:t>
      </w:r>
      <w:r>
        <w:rPr>
          <w:rFonts w:ascii="Consolas" w:hAnsi="Consolas"/>
          <w:sz w:val="20"/>
        </w:rPr>
        <w:t>codex/phase1-order-storage-runtime</w:t>
      </w:r>
      <w:r>
        <w:t xml:space="preserve">, parent </w:t>
      </w:r>
      <w:r>
        <w:rPr>
          <w:rFonts w:ascii="Consolas" w:hAnsi="Consolas"/>
          <w:sz w:val="20"/>
        </w:rPr>
        <w:t>850c271</w:t>
      </w:r>
      <w:r>
        <w:t>. Sixteen explicitly reviewed source, test, migration and setup files were committed. Final reporting commit is recorded in Git history and delivery. No Git push occurred: the safe development deployment mapping remains unresolved, and this incomplete phase does not trigger push-after-phase completion. The user's next-env edit, .agents, extracted Kimi attachments and skills-lock.json remain preserved and excluded from our commits.</w:t>
      </w:r>
    </w:p>
    <w:p>
      <w:r>
        <w:t xml:space="preserve">The exact-source protected UI-only Preview is </w:t>
      </w:r>
      <w:r>
        <w:rPr>
          <w:b/>
        </w:rPr>
        <w:t>READY</w:t>
      </w:r>
      <w:r>
        <w:t xml:space="preserve">: [open review deployment](https://virtual-ink-ui-test-161y08zrf-shadowrootsec-5679.vercel.app). Deployment </w:t>
      </w:r>
      <w:r>
        <w:rPr>
          <w:rFonts w:ascii="Consolas" w:hAnsi="Consolas"/>
          <w:sz w:val="20"/>
        </w:rPr>
        <w:t>dpl_5HL3gjtHXjtvAoDZGAgqYaVkWh6F</w:t>
      </w:r>
      <w:r>
        <w:t xml:space="preserve">, project </w:t>
      </w:r>
      <w:r>
        <w:rPr>
          <w:rFonts w:ascii="Consolas" w:hAnsi="Consolas"/>
          <w:sz w:val="20"/>
        </w:rPr>
        <w:t>prj_aqLrX1gsSVb1XINH5YNGkp1aYazH</w:t>
      </w:r>
      <w:r>
        <w:t xml:space="preserve">; source matches the implementation above. READY and cold-build evidence verified </w:t>
      </w:r>
      <w:r>
        <w:rPr>
          <w:b/>
        </w:rPr>
        <w:t>2026-10-22 10:42:14 UTC / 12:42:14 CAT</w:t>
      </w:r>
      <w:r>
        <w:t xml:space="preserve">. Request recorded </w:t>
      </w:r>
      <w:r>
        <w:rPr>
          <w:b/>
        </w:rPr>
        <w:t>10:39:33 UTC / 12:39:33 CAT</w:t>
      </w:r>
      <w:r>
        <w:t xml:space="preserve">; hosted logs report deployment completion at </w:t>
      </w:r>
      <w:r>
        <w:rPr>
          <w:b/>
        </w:rPr>
        <w:t>10:40:58 UTC / 12:40:58 CAT</w:t>
      </w:r>
      <w:r>
        <w:t>, all on 22 October 2026. The reviewed Git snapshot uploaded 469 files. Actual metadata confirms Preview, non-Production target, buildSkipped=false, zero aliases/automatic aliases and no automation-bypass binding. Cold logs verify locked install, ui_test isolation, Node 24.22.1, lint, compilation and completed build. This is hosted build evidence; Auth and every backend service remain disabled and are not accepted by this URL. No accepted full-service staging URL exists. The stable hostname staging.virtualink.co.zm remains unconfigured/unverified. Production URL and deployment time are not verified in this task; production remains unchanged.</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Environment</w:t>
            </w:r>
          </w:p>
        </w:tc>
        <w:tc>
          <w:tcPr>
            <w:tcW w:type="dxa" w:w="6060"/>
            <w:vAlign w:val="center"/>
            <w:shd w:val="clear" w:fill="E8EEF5"/>
          </w:tcPr>
          <w:p>
            <w:pPr>
              <w:pStyle w:val="ReportTableText"/>
            </w:pPr>
            <w:r>
              <w:rPr>
                <w:b/>
              </w:rPr>
              <w:t>Actual boundary</w:t>
            </w:r>
          </w:p>
        </w:tc>
      </w:tr>
      <w:tr>
        <w:trPr>
          <w:cantSplit/>
        </w:trPr>
        <w:tc>
          <w:tcPr>
            <w:tcW w:type="dxa" w:w="3300"/>
            <w:vAlign w:val="center"/>
          </w:tcPr>
          <w:p>
            <w:pPr>
              <w:pStyle w:val="ReportTableText"/>
            </w:pPr>
            <w:r>
              <w:t>Development verification</w:t>
            </w:r>
          </w:p>
        </w:tc>
        <w:tc>
          <w:tcPr>
            <w:tcW w:type="dxa" w:w="6060"/>
            <w:vAlign w:val="center"/>
          </w:tcPr>
          <w:p>
            <w:pPr>
              <w:pStyle w:val="ReportTableText"/>
            </w:pPr>
            <w:r>
              <w:t>Disposable loopback Auth 2.197.0 and PostgreSQL 18; synthetic accounts; containers cleaned up</w:t>
            </w:r>
          </w:p>
        </w:tc>
      </w:tr>
      <w:tr>
        <w:trPr>
          <w:cantSplit/>
        </w:trPr>
        <w:tc>
          <w:tcPr>
            <w:tcW w:type="dxa" w:w="3300"/>
            <w:vAlign w:val="center"/>
          </w:tcPr>
          <w:p>
            <w:pPr>
              <w:pStyle w:val="ReportTableText"/>
            </w:pPr>
            <w:r>
              <w:t>Managed staging</w:t>
            </w:r>
          </w:p>
        </w:tc>
        <w:tc>
          <w:tcPr>
            <w:tcW w:type="dxa" w:w="6060"/>
            <w:vAlign w:val="center"/>
          </w:tcPr>
          <w:p>
            <w:pPr>
              <w:pStyle w:val="ReportTableText"/>
            </w:pPr>
            <w:r>
              <w:t>Last read-only evidence on 22 October: Free, fourteen migrations, zero Auth users/buckets, security/native hook disabled; no mutations in this slice</w:t>
            </w:r>
          </w:p>
        </w:tc>
      </w:tr>
      <w:tr>
        <w:trPr>
          <w:cantSplit/>
        </w:trPr>
        <w:tc>
          <w:tcPr>
            <w:tcW w:type="dxa" w:w="3300"/>
            <w:vAlign w:val="center"/>
          </w:tcPr>
          <w:p>
            <w:pPr>
              <w:pStyle w:val="ReportTableText"/>
            </w:pPr>
            <w:r>
              <w:t>Local migration inventory</w:t>
            </w:r>
          </w:p>
        </w:tc>
        <w:tc>
          <w:tcPr>
            <w:tcW w:type="dxa" w:w="6060"/>
            <w:vAlign w:val="center"/>
          </w:tcPr>
          <w:p>
            <w:pPr>
              <w:pStyle w:val="ReportTableText"/>
            </w:pPr>
            <w:r>
              <w:t>Seventeen files; migrations 15–17 remain unapplied hosted; original Production remains ten</w:t>
            </w:r>
          </w:p>
        </w:tc>
      </w:tr>
      <w:tr>
        <w:trPr>
          <w:cantSplit/>
        </w:trPr>
        <w:tc>
          <w:tcPr>
            <w:tcW w:type="dxa" w:w="3300"/>
            <w:vAlign w:val="center"/>
          </w:tcPr>
          <w:p>
            <w:pPr>
              <w:pStyle w:val="ReportTableText"/>
            </w:pPr>
            <w:r>
              <w:t>Protected UI-only Preview</w:t>
            </w:r>
          </w:p>
        </w:tc>
        <w:tc>
          <w:tcPr>
            <w:tcW w:type="dxa" w:w="6060"/>
            <w:vAlign w:val="center"/>
          </w:tcPr>
          <w:p>
            <w:pPr>
              <w:pStyle w:val="ReportTableText"/>
            </w:pPr>
            <w:r>
              <w:t>READY exact-source Preview on virtual-ink-ui-test; ui_test guard keeps Auth, database, security, workflow, storage, uploads and payments disabled</w:t>
            </w:r>
          </w:p>
        </w:tc>
      </w:tr>
      <w:tr>
        <w:trPr>
          <w:cantSplit/>
        </w:trPr>
        <w:tc>
          <w:tcPr>
            <w:tcW w:type="dxa" w:w="3300"/>
            <w:vAlign w:val="center"/>
          </w:tcPr>
          <w:p>
            <w:pPr>
              <w:pStyle w:val="ReportTableText"/>
            </w:pPr>
            <w:r>
              <w:t>Full-service staging / Production</w:t>
            </w:r>
          </w:p>
        </w:tc>
        <w:tc>
          <w:tcPr>
            <w:tcW w:type="dxa" w:w="6060"/>
            <w:vAlign w:val="center"/>
          </w:tcPr>
          <w:p>
            <w:pPr>
              <w:pStyle w:val="ReportTableText"/>
            </w:pPr>
            <w:r>
              <w:t>No genuine hosted identity/workflow acceptance and no production rollout</w:t>
            </w:r>
          </w:p>
        </w:tc>
      </w:tr>
    </w:tbl>
    <w:p>
      <w:pPr>
        <w:spacing w:after="80"/>
      </w:pPr>
    </w:p>
    <w:p>
      <w:r>
        <w:t>The full-service acceptance project's existing first-target routing stop remains in force. No Production bootstrap, copied production secrets, protection bypass, domain change, hosted user/role/bucket creation or paid upgrade occurred.</w:t>
      </w:r>
    </w:p>
    <w:p>
      <w:pPr>
        <w:pStyle w:val="Heading1"/>
      </w:pPr>
      <w:r>
        <w:t>Implemented behavior and routes</w:t>
      </w:r>
    </w:p>
    <w:p>
      <w:r>
        <w:t>Current CUSTOMER and VENDOR assignments now receive a Security and MFA link at /account. The new /account/security server page re-verifies identity and executes account.security before reading provider factors. Disabled infrastructure shows an honest unavailable state. Denied or unassigned accounts return to /account; approved administrative roles continue to /admin/security. The administrative page also independently checks its trusted role before rendering.</w:t>
      </w:r>
    </w:p>
    <w:p>
      <w:r>
        <w:t>POST /api/security/self-status accepts an empty JSON object. The database returns the current caller's role/user ID and the provider adapter reads that caller's factors and assurance. No target account, browser role or editable metadata is accepted as authority. Existing /api/security/status stays administrative. The shared panel uses self-status for every self-service refresh and omits role/audit administration. Neutral provider factor names now say Virtual Ink authenticator.</w:t>
      </w:r>
    </w:p>
    <w:p>
      <w:r>
        <w:t>Both roles can enroll with the actual provider QR/manual key, challenge and verify, list factors, replace an authenticator, discard unfinished enrollment and remove a factor when another verified factor remains. Initial setup requires a recent password. Replacement/removal require recent native MFA plus signed application step-up; reservation, budgets, audit-before-response and uncertain-outcome controls remain enforced. AAL2 does not grant an administrative role or authorize an unbuilt payment operation. Customer enrollment is optional initially; removing the final verified factor remains prohibited under the existing policy. Recovery requests retain controlled review; private recovery execution is still incomplete.</w:t>
      </w:r>
    </w:p>
    <w:p>
      <w:r>
        <w:t>Passwords/codes retain labels and password-manager/one-time-code hints. TOTP uses a text input with numeric keyboard and correction disabled, preserving leading zeros. All shared security forms now specify POST: loss of JavaScript cannot make native form submission put security fields in a GET URL. A noscript notice explains that MFA interaction requires JavaScript. Native fallback fails closed; it is not a complete no-JavaScript enrollment flow. Existing exact Origin, JSON, no-store, redirect denial and bounded private QR/key display controls remain intact.</w:t>
      </w:r>
    </w:p>
    <w:p>
      <w:r>
        <w:t>No new catalogue, dashboard totals, payment status, file availability or service success is fabricated. Existing customer/vendor/admin order dashboards retain their previous scoped reads and controlled forms, but the full required dashboard suites are incomplete. [Setup and rollback boundary](../account-security.md).</w:t>
      </w:r>
    </w:p>
    <w:p>
      <w:pPr>
        <w:pStyle w:val="Heading1"/>
      </w:pPr>
      <w:r>
        <w:t>Migration, authorization and security review</w:t>
      </w:r>
    </w:p>
    <w:p>
      <w:r>
        <w:t xml:space="preserve">CLI-created migration </w:t>
      </w:r>
      <w:r>
        <w:rPr>
          <w:rFonts w:ascii="Consolas" w:hAnsi="Consolas"/>
          <w:sz w:val="20"/>
        </w:rPr>
        <w:t>20261022102315_virtual_ink_self_service_mfa.sql</w:t>
      </w:r>
      <w:r>
        <w:t xml:space="preserve"> explicitly replaces the private security command, adding only CUSTOMER/VENDOR allowance for account.security and mfa.reserve. Normalized LF SHA-256: </w:t>
      </w:r>
      <w:r>
        <w:rPr>
          <w:rFonts w:ascii="Consolas" w:hAnsi="Consolas"/>
          <w:sz w:val="20"/>
        </w:rPr>
        <w:t>1133bc585046d393dde464de2a5a355ab468b40c11ca949b46b3a49f26e697de</w:t>
      </w:r>
      <w:r>
        <w:t>. Comparison with migration 14 confirms the remaining command body is unchanged. No historical migration is edited. No new table, public schema, runtime LOGIN, browser grant, RLS policy or Storage policy is added. CREATE OR REPLACE retains the restricted ACL; temporary owner/schema creation privileges are removed.</w:t>
      </w:r>
    </w:p>
    <w:p>
      <w:r>
        <w:t>Attack prerequisites reviewed: an authenticated customer/vendor with a genuine session, caller-injected identity fields, another account's factor ID, an AAL1 or revoked session, or a valid MFA session attempting administrative/payment access. Actual SQL and genuine local requests prove scoped positives and the required denials, including after native/application AAL2. The final factor remains usable after a rejected removal. Existing concurrency, rate/replay, native receipt, audit outage and dual-approval checks also pass. No hosted exploit is asserted.</w:t>
      </w:r>
    </w:p>
    <w:p>
      <w:r>
        <w:t>Review identified a conditional native-form GET exposure if JavaScript failed; explicit POST closes that source-level path. Synthetic rendered-form checks assert every form's method. No physical/browser reproduction or credential disclosure is claimed. Malformed input denies without account data: a nonadministrative invalid request can return 403 from its required audit authorization rather than schema 400. Genuine tests accept only these bounded denials, never 5xx as authorization success. Cross-account factor challenge specifically returns 401. Role/account revocation, online provider and current native session checks remain authoritative.</w:t>
      </w:r>
    </w:p>
    <w:p>
      <w:r>
        <w:t>The historical web-admin audit source is the shared transport label, not role authority. This slice does not change that existing constrained schema. Audits retain actual actor identity; no setup seed, code, password or token is printed, persisted in command input or added to reports. Display cleanup is not secure JavaScript memory erasure or provider factor deletion. Provider-direct initial enrollment is not declared newly constrained by this application UI.</w:t>
      </w:r>
    </w:p>
    <w:p>
      <w:pPr>
        <w:pStyle w:val="Heading1"/>
      </w:pPr>
      <w:r>
        <w:t>Actual verification</w:t>
      </w:r>
    </w:p>
    <w:p>
      <w:r>
        <w:t>Baseline was the preceding same-tree handover: 250 root, 229 security, 81 web, 16 SDK and 229 genuine local Auth checks. Final checks for this source: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 and exact scope</w:t>
            </w:r>
          </w:p>
        </w:tc>
      </w:tr>
      <w:tr>
        <w:trPr>
          <w:cantSplit/>
        </w:trPr>
        <w:tc>
          <w:tcPr>
            <w:tcW w:type="dxa" w:w="3300"/>
            <w:vAlign w:val="center"/>
          </w:tcPr>
          <w:p>
            <w:pPr>
              <w:pStyle w:val="ReportTableText"/>
            </w:pPr>
            <w:r>
              <w:t>Clean root dependency install</w:t>
            </w:r>
          </w:p>
        </w:tc>
        <w:tc>
          <w:tcPr>
            <w:tcW w:type="dxa" w:w="6060"/>
            <w:vAlign w:val="center"/>
          </w:tcPr>
          <w:p>
            <w:pPr>
              <w:pStyle w:val="ReportTableText"/>
            </w:pPr>
            <w:r>
              <w:t>npm ci --include=dev passed</w:t>
            </w:r>
          </w:p>
        </w:tc>
      </w:tr>
      <w:tr>
        <w:trPr>
          <w:cantSplit/>
        </w:trPr>
        <w:tc>
          <w:tcPr>
            <w:tcW w:type="dxa" w:w="3300"/>
            <w:vAlign w:val="center"/>
          </w:tcPr>
          <w:p>
            <w:pPr>
              <w:pStyle w:val="ReportTableText"/>
            </w:pPr>
            <w:r>
              <w:t>Root backend/shared unit tests</w:t>
            </w:r>
          </w:p>
        </w:tc>
        <w:tc>
          <w:tcPr>
            <w:tcW w:type="dxa" w:w="6060"/>
            <w:vAlign w:val="center"/>
          </w:tcPr>
          <w:p>
            <w:pPr>
              <w:pStyle w:val="ReportTableText"/>
            </w:pPr>
            <w:r>
              <w:t>251 passed; zero failures/skips</w:t>
            </w:r>
          </w:p>
        </w:tc>
      </w:tr>
      <w:tr>
        <w:trPr>
          <w:cantSplit/>
        </w:trPr>
        <w:tc>
          <w:tcPr>
            <w:tcW w:type="dxa" w:w="3300"/>
            <w:vAlign w:val="center"/>
          </w:tcPr>
          <w:p>
            <w:pPr>
              <w:pStyle w:val="ReportTableText"/>
            </w:pPr>
            <w:r>
              <w:t>Security selection</w:t>
            </w:r>
          </w:p>
        </w:tc>
        <w:tc>
          <w:tcPr>
            <w:tcW w:type="dxa" w:w="6060"/>
            <w:vAlign w:val="center"/>
          </w:tcPr>
          <w:p>
            <w:pPr>
              <w:pStyle w:val="ReportTableText"/>
            </w:pPr>
            <w:r>
              <w:t>230 passed; overlapping subset, not added to root total</w:t>
            </w:r>
          </w:p>
        </w:tc>
      </w:tr>
      <w:tr>
        <w:trPr>
          <w:cantSplit/>
        </w:trPr>
        <w:tc>
          <w:tcPr>
            <w:tcW w:type="dxa" w:w="3300"/>
            <w:vAlign w:val="center"/>
          </w:tcPr>
          <w:p>
            <w:pPr>
              <w:pStyle w:val="ReportTableText"/>
            </w:pPr>
            <w:r>
              <w:t>Web/component checks</w:t>
            </w:r>
          </w:p>
        </w:tc>
        <w:tc>
          <w:tcPr>
            <w:tcW w:type="dxa" w:w="6060"/>
            <w:vAlign w:val="center"/>
          </w:tcPr>
          <w:p>
            <w:pPr>
              <w:pStyle w:val="ReportTableText"/>
            </w:pPr>
            <w:r>
              <w:t>85 passed; synthetic hooks/server components and boundaries, not browser/device acceptance</w:t>
            </w:r>
          </w:p>
        </w:tc>
      </w:tr>
      <w:tr>
        <w:trPr>
          <w:cantSplit/>
        </w:trPr>
        <w:tc>
          <w:tcPr>
            <w:tcW w:type="dxa" w:w="3300"/>
            <w:vAlign w:val="center"/>
          </w:tcPr>
          <w:p>
            <w:pPr>
              <w:pStyle w:val="ReportTableText"/>
            </w:pPr>
            <w:r>
              <w:t>SDK/Next Auth contracts</w:t>
            </w:r>
          </w:p>
        </w:tc>
        <w:tc>
          <w:tcPr>
            <w:tcW w:type="dxa" w:w="6060"/>
            <w:vAlign w:val="center"/>
          </w:tcPr>
          <w:p>
            <w:pPr>
              <w:pStyle w:val="ReportTableText"/>
            </w:pPr>
            <w:r>
              <w:t>16 passed; real SDK with synthetic HTTP</w:t>
            </w:r>
          </w:p>
        </w:tc>
      </w:tr>
      <w:tr>
        <w:trPr>
          <w:cantSplit/>
        </w:trPr>
        <w:tc>
          <w:tcPr>
            <w:tcW w:type="dxa" w:w="3300"/>
            <w:vAlign w:val="center"/>
          </w:tcPr>
          <w:p>
            <w:pPr>
              <w:pStyle w:val="ReportTableText"/>
            </w:pPr>
            <w:r>
              <w:t>Genuine local Auth/MFA</w:t>
            </w:r>
          </w:p>
        </w:tc>
        <w:tc>
          <w:tcPr>
            <w:tcW w:type="dxa" w:w="6060"/>
            <w:vAlign w:val="center"/>
          </w:tcPr>
          <w:p>
            <w:pPr>
              <w:pStyle w:val="ReportTableText"/>
            </w:pPr>
            <w:r>
              <w:t>305 passed = 89 baseline + 120 hook/factor + 76 self-service + 20 workflow/dashboard assertions</w:t>
            </w:r>
          </w:p>
        </w:tc>
      </w:tr>
      <w:tr>
        <w:trPr>
          <w:cantSplit/>
        </w:trPr>
        <w:tc>
          <w:tcPr>
            <w:tcW w:type="dxa" w:w="3300"/>
            <w:vAlign w:val="center"/>
          </w:tcPr>
          <w:p>
            <w:pPr>
              <w:pStyle w:val="ReportTableText"/>
            </w:pPr>
            <w:r>
              <w:t>Managed-shaped migration replay</w:t>
            </w:r>
          </w:p>
        </w:tc>
        <w:tc>
          <w:tcPr>
            <w:tcW w:type="dxa" w:w="6060"/>
            <w:vAlign w:val="center"/>
          </w:tcPr>
          <w:p>
            <w:pPr>
              <w:pStyle w:val="ReportTableText"/>
            </w:pPr>
            <w:r>
              <w:t>All seventeen applied to a fresh isolated non-superuser CREATEROLE/BYPASSRLS fixture; owner membership/CREATE cleanup passed</w:t>
            </w:r>
          </w:p>
        </w:tc>
      </w:tr>
      <w:tr>
        <w:trPr>
          <w:cantSplit/>
        </w:trPr>
        <w:tc>
          <w:tcPr>
            <w:tcW w:type="dxa" w:w="3300"/>
            <w:vAlign w:val="center"/>
          </w:tcPr>
          <w:p>
            <w:pPr>
              <w:pStyle w:val="ReportTableText"/>
            </w:pPr>
            <w:r>
              <w:t>SQL authorization</w:t>
            </w:r>
          </w:p>
        </w:tc>
        <w:tc>
          <w:tcPr>
            <w:tcW w:type="dxa" w:w="6060"/>
            <w:vAlign w:val="center"/>
          </w:tcPr>
          <w:p>
            <w:pPr>
              <w:pStyle w:val="ReportTableText"/>
            </w:pPr>
            <w:r>
              <w:t>123 security and 113 order/proof/QC assertions passed; six historical rollback suites passed; synthetic provider/storage fixtures</w:t>
            </w:r>
          </w:p>
        </w:tc>
      </w:tr>
      <w:tr>
        <w:trPr>
          <w:cantSplit/>
        </w:trPr>
        <w:tc>
          <w:tcPr>
            <w:tcW w:type="dxa" w:w="3300"/>
            <w:vAlign w:val="center"/>
          </w:tcPr>
          <w:p>
            <w:pPr>
              <w:pStyle w:val="ReportTableText"/>
            </w:pPr>
            <w:r>
              <w:t>Strict types / lint / build</w:t>
            </w:r>
          </w:p>
        </w:tc>
        <w:tc>
          <w:tcPr>
            <w:tcW w:type="dxa" w:w="6060"/>
            <w:vAlign w:val="center"/>
          </w:tcPr>
          <w:p>
            <w:pPr>
              <w:pStyle w:val="ReportTableText"/>
            </w:pPr>
            <w:r>
              <w:t>Passed; source lint zero warnings; final local build passed</w:t>
            </w:r>
          </w:p>
        </w:tc>
      </w:tr>
      <w:tr>
        <w:trPr>
          <w:cantSplit/>
        </w:trPr>
        <w:tc>
          <w:tcPr>
            <w:tcW w:type="dxa" w:w="3300"/>
            <w:vAlign w:val="center"/>
          </w:tcPr>
          <w:p>
            <w:pPr>
              <w:pStyle w:val="ReportTableText"/>
            </w:pPr>
            <w:r>
              <w:t>Coverage inventory</w:t>
            </w:r>
          </w:p>
        </w:tc>
        <w:tc>
          <w:tcPr>
            <w:tcW w:type="dxa" w:w="6060"/>
            <w:vAlign w:val="center"/>
          </w:tcPr>
          <w:p>
            <w:pPr>
              <w:pStyle w:val="ReportTableText"/>
            </w:pPr>
            <w:r>
              <w:t>All 50 backend/shared files measured; zero missing</w:t>
            </w:r>
          </w:p>
        </w:tc>
      </w:tr>
      <w:tr>
        <w:trPr>
          <w:cantSplit/>
        </w:trPr>
        <w:tc>
          <w:tcPr>
            <w:tcW w:type="dxa" w:w="3300"/>
            <w:vAlign w:val="center"/>
          </w:tcPr>
          <w:p>
            <w:pPr>
              <w:pStyle w:val="ReportTableText"/>
            </w:pPr>
            <w:r>
              <w:t>Line coverage</w:t>
            </w:r>
          </w:p>
        </w:tc>
        <w:tc>
          <w:tcPr>
            <w:tcW w:type="dxa" w:w="6060"/>
            <w:vAlign w:val="center"/>
          </w:tcPr>
          <w:p>
            <w:pPr>
              <w:pStyle w:val="ReportTableText"/>
            </w:pPr>
            <w:r>
              <w:t>2,975 / 2,996 = 99.30%</w:t>
            </w:r>
          </w:p>
        </w:tc>
      </w:tr>
      <w:tr>
        <w:trPr>
          <w:cantSplit/>
        </w:trPr>
        <w:tc>
          <w:tcPr>
            <w:tcW w:type="dxa" w:w="3300"/>
            <w:vAlign w:val="center"/>
          </w:tcPr>
          <w:p>
            <w:pPr>
              <w:pStyle w:val="ReportTableText"/>
            </w:pPr>
            <w:r>
              <w:t>Branch coverage</w:t>
            </w:r>
          </w:p>
        </w:tc>
        <w:tc>
          <w:tcPr>
            <w:tcW w:type="dxa" w:w="6060"/>
            <w:vAlign w:val="center"/>
          </w:tcPr>
          <w:p>
            <w:pPr>
              <w:pStyle w:val="ReportTableText"/>
            </w:pPr>
            <w:r>
              <w:t>2,245 / 2,319 = 96.81%</w:t>
            </w:r>
          </w:p>
        </w:tc>
      </w:tr>
      <w:tr>
        <w:trPr>
          <w:cantSplit/>
        </w:trPr>
        <w:tc>
          <w:tcPr>
            <w:tcW w:type="dxa" w:w="3300"/>
            <w:vAlign w:val="center"/>
          </w:tcPr>
          <w:p>
            <w:pPr>
              <w:pStyle w:val="ReportTableText"/>
            </w:pPr>
            <w:r>
              <w:t>Function coverage</w:t>
            </w:r>
          </w:p>
        </w:tc>
        <w:tc>
          <w:tcPr>
            <w:tcW w:type="dxa" w:w="6060"/>
            <w:vAlign w:val="center"/>
          </w:tcPr>
          <w:p>
            <w:pPr>
              <w:pStyle w:val="ReportTableText"/>
            </w:pPr>
            <w:r>
              <w:t>292 / 299 = 97.66%</w:t>
            </w:r>
          </w:p>
        </w:tc>
      </w:tr>
      <w:tr>
        <w:trPr>
          <w:cantSplit/>
        </w:trPr>
        <w:tc>
          <w:tcPr>
            <w:tcW w:type="dxa" w:w="3300"/>
            <w:vAlign w:val="center"/>
          </w:tcPr>
          <w:p>
            <w:pPr>
              <w:pStyle w:val="ReportTableText"/>
            </w:pPr>
            <w:r>
              <w:t>Fresh npm dependency advisories</w:t>
            </w:r>
          </w:p>
        </w:tc>
        <w:tc>
          <w:tcPr>
            <w:tcW w:type="dxa" w:w="6060"/>
            <w:vAlign w:val="center"/>
          </w:tcPr>
          <w:p>
            <w:pPr>
              <w:pStyle w:val="ReportTableText"/>
            </w:pPr>
            <w:r>
              <w:t>Root 169 and web 125 dependency totals; zero reported vulnerabilities in either audit</w:t>
            </w:r>
          </w:p>
        </w:tc>
      </w:tr>
      <w:tr>
        <w:trPr>
          <w:cantSplit/>
        </w:trPr>
        <w:tc>
          <w:tcPr>
            <w:tcW w:type="dxa" w:w="3300"/>
            <w:vAlign w:val="center"/>
          </w:tcPr>
          <w:p>
            <w:pPr>
              <w:pStyle w:val="ReportTableText"/>
            </w:pPr>
            <w:r>
              <w:t>Browser artifact review</w:t>
            </w:r>
          </w:p>
        </w:tc>
        <w:tc>
          <w:tcPr>
            <w:tcW w:type="dxa" w:w="6060"/>
            <w:vAlign w:val="center"/>
          </w:tcPr>
          <w:p>
            <w:pPr>
              <w:pStyle w:val="ReportTableText"/>
            </w:pPr>
            <w:r>
              <w:t>69 files; zero findings; static artifact scope only</w:t>
            </w:r>
          </w:p>
        </w:tc>
      </w:tr>
    </w:tbl>
    <w:p>
      <w:pPr>
        <w:spacing w:after="80"/>
      </w:pPr>
    </w:p>
    <w:p>
      <w:r>
        <w:t>Coverage is aggregate for the complete declared backend/shared source inventory. It excludes src/server.js lifecycle, frontend/browser, SQL and genuine hosted integrations; no per-file 95% or product-completion claim is made. Genuine tests use the pinned actual Auth/PostgreSQL images recorded by the local runner and its real native hook, restricted application DB connection and signed cookie. The 76 new assertions include safe-response checks, not 76 separate end-user workflows. Disposable cleanup passed. No synthetic fixture was seeded into managed services.</w:t>
      </w:r>
    </w:p>
    <w:p>
      <w:r>
        <w:t>Initial SDK verification failed because its expected administrator-only factor name was stale; the expectation now matches the neutral name. The first genuine self-service run caught the 403 malformed-request audit denial described above; the test expectation was corrected without opening that private audit command. All final executed gates pass. Windows access restrictions required permitted reruns for some reads/build preparation; no security guard was bypassed.</w:t>
      </w:r>
    </w:p>
    <w:p>
      <w:r>
        <w:t>The reviewed runtime remains Node 24.22.1. Supabase changelog review identified the upcoming November TLS cipher retirement; this slice adds no custom/legacy transport or SDK dependency. [Provider TOTP contracts](https://supabase.com/docs/guides/auth/auth-mfa/totp) support enrollment/challenge/verification; the separate [native hook availability](https://supabase.com/docs/guides/auth/auth-hooks) remains the managed-plan blocker. No workstation OS, provider, AI platform or entire production-system pentest is claimed.</w:t>
      </w:r>
    </w:p>
    <w:p>
      <w:pPr>
        <w:pStyle w:val="Heading1"/>
      </w:pPr>
      <w:r>
        <w:t>Remaining launch gates and release procedure</w:t>
      </w:r>
    </w:p>
    <w:p>
      <w:r>
        <w:t>Ordinary TOTP is available on Free. The required verification-attempt hook under the existing security policy needs a compatible target; the present staging plan is Free. An existing compatible managed target or authorized self-hosted HTTPS target with reviewed adapter remains missing. No cost-bearing upgrade is authorized. The exact isolated full-service Preview routing failure must also be resolved. These are blockers, not reasons to weaken MFA or bootstrap Production.</w:t>
      </w:r>
    </w:p>
    <w:p>
      <w:r>
        <w:t>Hosted registration/email verification/password recovery/session refresh/expiry, customer/vendor/admin MFA journeys and recovery remain unaccepted. Private upload ingress/queue, deployed scan/promotion workers, private buckets/IAM, retention and proof-viewing transport remain incomplete. Catalogue/configurable server pricing, fees/tax/discount policy, persistent cart/checkout and receipt generation are open. All remaining dashboard sections, advanced vendor queue filters and full proof/ production/delivery/refund journeys need implementation and hosted acceptance.</w:t>
      </w:r>
    </w:p>
    <w:p>
      <w:r>
        <w:t xml:space="preserve">Payment integration is </w:t>
      </w:r>
      <w:r>
        <w:rPr>
          <w:b/>
        </w:rPr>
        <w:t>blocked</w:t>
      </w:r>
      <w:r>
        <w:t xml:space="preserve">: no approved sandbox/live provider, signed/replay- safe webhook, reconciliation/refund/payout acceptance or production funds movement. Notifications are </w:t>
      </w:r>
      <w:r>
        <w:rPr>
          <w:b/>
        </w:rPr>
        <w:t>incomplete</w:t>
      </w:r>
      <w:r>
        <w:t>: no approved staging test-email or production transactional delivery, event-driven business/security messages or accepted error monitoring. Public product/model references and synthetic tests remain; no real commercial catalogue or genuine orders are invented. Writing block 58163 is still missing; approved assets and Kimi references are preserved.</w:t>
      </w:r>
    </w:p>
    <w:p>
      <w:r>
        <w:t>No new physical Windows Chrome/Edge, Android, iPhone, tablet, touch/network or reduced-motion/no-WebGL acceptance was performed. Automated labels/method checks pass; screen-reader/keyboard-only/physical accessibility and performance/CWV/load results remain pending. Emulation is not counted. Full hosted staging acceptance, private production secret verification, backup/restore and rollback rehearsal, documented go/no-go and explicit release approval remain open.</w:t>
      </w:r>
    </w:p>
    <w:p>
      <w:r>
        <w:t>Production rollout is prohibited while these gates fail. Once they pass, record the exact target, approved commit, private environment fingerprints and reviewed backup; rehearse restoration on isolation and reconcile migration history. Apply only reviewed forward migrations, deploy the approved candidate, exercise actual Auth/MFA/customer/vendor/admin/file/order/payment/notification smoke tests and monitor errors. On a critical failure stop intake/privileged processing, restore the recorded compatible app/flags, preserve audit/orders/payment history and privately reconcile uncertain provider outcomes. Use forward schema repair; never delete production data or reverse applied migrations destructively. No production migration, restore or rollback rehearsal occurred in this slice.</w:t>
      </w:r>
    </w:p>
    <w:p>
      <w:pPr>
        <w:pStyle w:val="Heading1"/>
      </w:pPr>
      <w:r>
        <w:t>Team actions and report checks</w:t>
      </w:r>
    </w:p>
    <w:p>
      <w:pPr>
        <w:pStyle w:val="ReportList"/>
        <w:numPr>
          <w:ilvl w:val="0"/>
          <w:numId w:val="80"/>
        </w:numPr>
      </w:pPr>
      <w:r>
        <w:rPr>
          <w:b/>
        </w:rPr>
        <w:t>Uchi:</w:t>
      </w:r>
      <w:r>
        <w:t xml:space="preserve"> supply the compatible isolated target, approved payment/test-email providers and writing block 58163; settle safe development push mapping and any cost separately. Coordinate physical devices and eventual release authorization.</w:t>
      </w:r>
    </w:p>
    <w:p>
      <w:pPr>
        <w:pStyle w:val="ReportList"/>
        <w:numPr>
          <w:ilvl w:val="0"/>
          <w:numId w:val="80"/>
        </w:numPr>
      </w:pPr>
      <w:r>
        <w:rPr>
          <w:b/>
        </w:rPr>
        <w:t>Mumba:</w:t>
      </w:r>
      <w:r>
        <w:t xml:space="preserve"> review migration 17's narrow allowlist and genuine role/factor denials; complete hosted connections/worker/private transport and the next Phase 1 slice.</w:t>
      </w:r>
    </w:p>
    <w:p>
      <w:pPr>
        <w:pStyle w:val="ReportList"/>
        <w:numPr>
          <w:ilvl w:val="0"/>
          <w:numId w:val="80"/>
        </w:numPr>
      </w:pPr>
      <w:r>
        <w:rPr>
          <w:b/>
        </w:rPr>
        <w:t>Taizya:</w:t>
      </w:r>
      <w:r>
        <w:t xml:space="preserve"> review both account roles' setup/step-up/replacement UX with synthetic pairing material; collect real keyboard/screen-reader/mobile/manual-key evidence after genuine staging is available. Keep actual secrets out of shared recordings.</w:t>
      </w:r>
    </w:p>
    <w:p>
      <w:pPr>
        <w:pStyle w:val="ReportList"/>
        <w:numPr>
          <w:ilvl w:val="0"/>
          <w:numId w:val="80"/>
        </w:numPr>
      </w:pPr>
      <w:r>
        <w:rPr>
          <w:b/>
        </w:rPr>
        <w:t>Lubasi:</w:t>
      </w:r>
      <w:r>
        <w:t xml:space="preserve"> organize device and recovery-support evidence; settle operational vendor, proof/QC, collection/delivery, payment/refund policies with Uchi/Mumba.</w:t>
      </w:r>
    </w:p>
    <w:p>
      <w:r>
        <w:t>Phase 2 expansion remains deferred pending accepted Phase 1, traction and an explicit scope decision. Queue/reporting scalability can follow measured demand; no escrow, blockchain or additional marketplace scope is introduced.</w:t>
      </w:r>
    </w:p>
    <w:p>
      <w:r>
        <w:t>The matching Word report uses scripts/generate_team_report.py and the Documents skill's compact_reference_guide/memo_masthead format. Structural, link, evidence and geometry checks pass. The final repository scan checks 482 files, skips 129 and reports zero findings; Git whitespace checks pass. Rendering is attempted; missing LibreOffice/soffice prevents page-image inspection. No visual QA or human signoff is inferred. This rendering limitation is separate from the passing source gates.</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