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studio model conformance audit</w:t>
      </w:r>
    </w:p>
    <w:p>
      <w:r>
        <w:t xml:space="preserve">Date: 20 October 2026. Phase 1 is </w:t>
      </w:r>
      <w:r>
        <w:rPr>
          <w:b/>
        </w:rPr>
        <w:t>INCOMPLETE</w:t>
      </w:r>
      <w:r>
        <w:t xml:space="preserve">, release </w:t>
      </w:r>
      <w:r>
        <w:rPr>
          <w:b/>
        </w:rPr>
        <w:t>NO-GO</w:t>
      </w:r>
      <w:r>
        <w:t>. This is a local public-asset audit and repeatable operator command. No application feature, supplier approval, physical-device acceptance or production release is completed by it.</w:t>
      </w:r>
    </w:p>
    <w:p>
      <w:pPr>
        <w:pStyle w:val="Heading1"/>
      </w:pPr>
      <w:r>
        <w:t>Result and change</w:t>
      </w:r>
    </w:p>
    <w:p>
      <w:r>
        <w:t xml:space="preserve">All nine registered GLBs pass Khronos glTF Validator 2.0.0-dev.3.10 with </w:t>
      </w:r>
      <w:r>
        <w:rPr>
          <w:b/>
        </w:rPr>
        <w:t>zero errors, zero warnings and 104 informational UNUSED_OBJECT notices</w:t>
      </w:r>
      <w:r>
        <w:t>. The notices refer to UV attributes in blank meshes without baked textures. The viewer attaches customer-design canvas textures to the named printable materials at runtime. Other geometry also carries UVs. These notices are retained in the evidence; no validator issue is suppressed or downgraded. This is not a visual or physical-accuracy assessment.</w:t>
      </w:r>
    </w:p>
    <w:p>
      <w:r>
        <w:t xml:space="preserve">New command: npm run check:studio:assets. Source commit: </w:t>
      </w:r>
      <w:r>
        <w:rPr>
          <w:rFonts w:ascii="Consolas" w:hAnsi="Consolas"/>
          <w:sz w:val="20"/>
        </w:rPr>
        <w:t>a48a9d24640ff61a5964cb60627b6d3ab664ce8c</w:t>
      </w:r>
      <w:r>
        <w:t>. The audit reads registered public GLBs, validates their binary/JSON data, checks printable material names and UV bindings, verifies the draft/model-version metadata and rejects external model resources. All nine real models make zero external-resource callback requests. The tenth product, business-card, is correctly flat-only with no GLB. SVG fallback rendering is outside this new audit.</w:t>
      </w:r>
    </w:p>
    <w:p>
      <w:r>
        <w:t>Four in-memory negative controls pass: truncated GLB, a NaN position value, an external-buffer reference and a missing printable material. The external fixture invokes the rejecting callback once; it performs no network/file fetch. No real asset is modified by a negative control. This confirms these particular failure paths, not every possible malformed input or denial-of-service condition.</w:t>
      </w:r>
    </w:p>
    <w:p>
      <w:r>
        <w:t>The [sanitized JSON evidence](2026-10-20-studio-model-conformance.json) records each model's byte count, full SHA-256, material surfaces and issue counts/codes. The audit prints that schema to stdout and exits unsuccessfully on a failed assertion, warning, error or external request in a real asset.</w:t>
      </w:r>
    </w:p>
    <w:p>
      <w:pPr>
        <w:pStyle w:val="Heading1"/>
      </w:pPr>
      <w:r>
        <w:t>Reproduction and verification</w:t>
      </w:r>
    </w:p>
    <w:p>
      <w:r>
        <w:t>Use the reviewed Node 24.21.0 baseline and existing root development install. Install the validator separately, with lifecycle scripts disabled:</w:t>
      </w:r>
    </w:p>
    <w:p>
      <w:pPr>
        <w:pStyle w:val="ReportCode"/>
      </w:pPr>
      <w:r>
        <w:t>npm install --prefix .private/studio-asset-tools --ignore-scripts --save-exact gltf-validator@2.0.0-dev.3.10</w:t>
        <w:br/>
        <w:t>npm run check:studio:assets</w:t>
        <w:br/>
        <w:t>npm run lint</w:t>
      </w:r>
    </w:p>
    <w:p>
      <w:r>
        <w:t>An optional first positional argument supplies an alternate trusted validator installation directory. The audit asserts the exact validator version and never installs packages itself. Root/web dependency manifests and lockfiles are unchanged except for the root npm command; the validator is not an application dependency or browser import. The isolated install has one package and reports zero npm advisories at this check. The isolated package lock's SHA-512 integrity matches the registry value; no application lockfile is changed.</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Executed scope</w:t>
            </w:r>
          </w:p>
        </w:tc>
        <w:tc>
          <w:tcPr>
            <w:tcW w:type="dxa" w:w="3100"/>
            <w:vAlign w:val="center"/>
            <w:shd w:val="clear" w:fill="E8EEF5"/>
          </w:tcPr>
          <w:p>
            <w:pPr>
              <w:pStyle w:val="ReportTableText"/>
            </w:pPr>
            <w:r>
              <w:rPr>
                <w:b/>
              </w:rPr>
              <w:t>Actual result</w:t>
            </w:r>
          </w:p>
        </w:tc>
        <w:tc>
          <w:tcPr>
            <w:tcW w:type="dxa" w:w="4160"/>
            <w:vAlign w:val="center"/>
            <w:shd w:val="clear" w:fill="E8EEF5"/>
          </w:tcPr>
          <w:p>
            <w:pPr>
              <w:pStyle w:val="ReportTableText"/>
            </w:pPr>
            <w:r>
              <w:rPr>
                <w:b/>
              </w:rPr>
              <w:t>Limit</w:t>
            </w:r>
          </w:p>
        </w:tc>
      </w:tr>
      <w:tr>
        <w:trPr>
          <w:cantSplit/>
        </w:trPr>
        <w:tc>
          <w:tcPr>
            <w:tcW w:type="dxa" w:w="2100"/>
            <w:vAlign w:val="center"/>
          </w:tcPr>
          <w:p>
            <w:pPr>
              <w:pStyle w:val="ReportTableText"/>
            </w:pPr>
            <w:r>
              <w:t>Official model validation</w:t>
            </w:r>
          </w:p>
        </w:tc>
        <w:tc>
          <w:tcPr>
            <w:tcW w:type="dxa" w:w="3100"/>
            <w:vAlign w:val="center"/>
          </w:tcPr>
          <w:p>
            <w:pPr>
              <w:pStyle w:val="ReportTableText"/>
            </w:pPr>
            <w:r>
              <w:t>9/9 GLBs; 0 errors, 0 warnings; 104 informational notices</w:t>
            </w:r>
          </w:p>
        </w:tc>
        <w:tc>
          <w:tcPr>
            <w:tcW w:type="dxa" w:w="4160"/>
            <w:vAlign w:val="center"/>
          </w:tcPr>
          <w:p>
            <w:pPr>
              <w:pStyle w:val="ReportTableText"/>
            </w:pPr>
            <w:r>
              <w:t>No GPU, fallback SVG or supplier validation</w:t>
            </w:r>
          </w:p>
        </w:tc>
      </w:tr>
      <w:tr>
        <w:trPr>
          <w:cantSplit/>
        </w:trPr>
        <w:tc>
          <w:tcPr>
            <w:tcW w:type="dxa" w:w="2100"/>
            <w:vAlign w:val="center"/>
          </w:tcPr>
          <w:p>
            <w:pPr>
              <w:pStyle w:val="ReportTableText"/>
            </w:pPr>
            <w:r>
              <w:t>Registry binding and resource checks</w:t>
            </w:r>
          </w:p>
        </w:tc>
        <w:tc>
          <w:tcPr>
            <w:tcW w:type="dxa" w:w="3100"/>
            <w:vAlign w:val="center"/>
          </w:tcPr>
          <w:p>
            <w:pPr>
              <w:pStyle w:val="ReportTableText"/>
            </w:pPr>
            <w:r>
              <w:t>All nine pass; one flat-only product; zero real external requests</w:t>
            </w:r>
          </w:p>
        </w:tc>
        <w:tc>
          <w:tcPr>
            <w:tcW w:type="dxa" w:w="4160"/>
            <w:vAlign w:val="center"/>
          </w:tcPr>
          <w:p>
            <w:pPr>
              <w:pStyle w:val="ReportTableText"/>
            </w:pPr>
            <w:r>
              <w:t>Reviewed static catalogue only</w:t>
            </w:r>
          </w:p>
        </w:tc>
      </w:tr>
      <w:tr>
        <w:trPr>
          <w:cantSplit/>
        </w:trPr>
        <w:tc>
          <w:tcPr>
            <w:tcW w:type="dxa" w:w="2100"/>
            <w:vAlign w:val="center"/>
          </w:tcPr>
          <w:p>
            <w:pPr>
              <w:pStyle w:val="ReportTableText"/>
            </w:pPr>
            <w:r>
              <w:t>Negative controls</w:t>
            </w:r>
          </w:p>
        </w:tc>
        <w:tc>
          <w:tcPr>
            <w:tcW w:type="dxa" w:w="3100"/>
            <w:vAlign w:val="center"/>
          </w:tcPr>
          <w:p>
            <w:pPr>
              <w:pStyle w:val="ReportTableText"/>
            </w:pPr>
            <w:r>
              <w:t>4/4 pass using in-memory corruption</w:t>
            </w:r>
          </w:p>
        </w:tc>
        <w:tc>
          <w:tcPr>
            <w:tcW w:type="dxa" w:w="4160"/>
            <w:vAlign w:val="center"/>
          </w:tcPr>
          <w:p>
            <w:pPr>
              <w:pStyle w:val="ReportTableText"/>
            </w:pPr>
            <w:r>
              <w:t>Not exhaustive fuzzing or runtime upload checks</w:t>
            </w:r>
          </w:p>
        </w:tc>
      </w:tr>
      <w:tr>
        <w:trPr>
          <w:cantSplit/>
        </w:trPr>
        <w:tc>
          <w:tcPr>
            <w:tcW w:type="dxa" w:w="2100"/>
            <w:vAlign w:val="center"/>
          </w:tcPr>
          <w:p>
            <w:pPr>
              <w:pStyle w:val="ReportTableText"/>
            </w:pPr>
            <w:r>
              <w:t>Public npm command and full source lint</w:t>
            </w:r>
          </w:p>
        </w:tc>
        <w:tc>
          <w:tcPr>
            <w:tcW w:type="dxa" w:w="3100"/>
            <w:vAlign w:val="center"/>
          </w:tcPr>
          <w:p>
            <w:pPr>
              <w:pStyle w:val="ReportTableText"/>
            </w:pPr>
            <w:r>
              <w:t>Pass</w:t>
            </w:r>
          </w:p>
        </w:tc>
        <w:tc>
          <w:tcPr>
            <w:tcW w:type="dxa" w:w="4160"/>
            <w:vAlign w:val="center"/>
          </w:tcPr>
          <w:p>
            <w:pPr>
              <w:pStyle w:val="ReportTableText"/>
            </w:pPr>
            <w:r>
              <w:t>No new app build or deployment</w:t>
            </w:r>
          </w:p>
        </w:tc>
      </w:tr>
      <w:tr>
        <w:trPr>
          <w:cantSplit/>
        </w:trPr>
        <w:tc>
          <w:tcPr>
            <w:tcW w:type="dxa" w:w="2100"/>
            <w:vAlign w:val="center"/>
          </w:tcPr>
          <w:p>
            <w:pPr>
              <w:pStyle w:val="ReportTableText"/>
            </w:pPr>
            <w:r>
              <w:t>Isolated validator npm audit</w:t>
            </w:r>
          </w:p>
        </w:tc>
        <w:tc>
          <w:tcPr>
            <w:tcW w:type="dxa" w:w="3100"/>
            <w:vAlign w:val="center"/>
          </w:tcPr>
          <w:p>
            <w:pPr>
              <w:pStyle w:val="ReportTableText"/>
            </w:pPr>
            <w:r>
              <w:t>Zero advisories</w:t>
            </w:r>
          </w:p>
        </w:tc>
        <w:tc>
          <w:tcPr>
            <w:tcW w:type="dxa" w:w="4160"/>
            <w:vAlign w:val="center"/>
          </w:tcPr>
          <w:p>
            <w:pPr>
              <w:pStyle w:val="ReportTableText"/>
            </w:pPr>
            <w:r>
              <w:t>Does not clear the runtime HIGH gate</w:t>
            </w:r>
          </w:p>
        </w:tc>
      </w:tr>
      <w:tr>
        <w:trPr>
          <w:cantSplit/>
        </w:trPr>
        <w:tc>
          <w:tcPr>
            <w:tcW w:type="dxa" w:w="2100"/>
            <w:vAlign w:val="center"/>
          </w:tcPr>
          <w:p>
            <w:pPr>
              <w:pStyle w:val="ReportTableText"/>
            </w:pPr>
            <w:r>
              <w:t>Runtime baseline</w:t>
            </w:r>
          </w:p>
        </w:tc>
        <w:tc>
          <w:tcPr>
            <w:tcW w:type="dxa" w:w="3100"/>
            <w:vAlign w:val="center"/>
          </w:tcPr>
          <w:p>
            <w:pPr>
              <w:pStyle w:val="ReportTableText"/>
            </w:pPr>
            <w:r>
              <w:t>Node 24.21.0 passes</w:t>
            </w:r>
          </w:p>
        </w:tc>
        <w:tc>
          <w:tcPr>
            <w:tcW w:type="dxa" w:w="4160"/>
            <w:vAlign w:val="center"/>
          </w:tcPr>
          <w:p>
            <w:pPr>
              <w:pStyle w:val="ReportTableText"/>
            </w:pPr>
            <w:r>
              <w:t>Existing scheduled HIGH patch gate remains open</w:t>
            </w:r>
          </w:p>
        </w:tc>
      </w:tr>
      <w:tr>
        <w:trPr>
          <w:cantSplit/>
        </w:trPr>
        <w:tc>
          <w:tcPr>
            <w:tcW w:type="dxa" w:w="2100"/>
            <w:vAlign w:val="center"/>
          </w:tcPr>
          <w:p>
            <w:pPr>
              <w:pStyle w:val="ReportTableText"/>
            </w:pPr>
            <w:r>
              <w:t>Scoped source-security heuristic</w:t>
            </w:r>
          </w:p>
        </w:tc>
        <w:tc>
          <w:tcPr>
            <w:tcW w:type="dxa" w:w="3100"/>
            <w:vAlign w:val="center"/>
          </w:tcPr>
          <w:p>
            <w:pPr>
              <w:pStyle w:val="ReportTableText"/>
            </w:pPr>
            <w:r>
              <w:t>Pass; 438 scanned, 118 skipped; no findings</w:t>
            </w:r>
          </w:p>
        </w:tc>
        <w:tc>
          <w:tcPr>
            <w:tcW w:type="dxa" w:w="4160"/>
            <w:vAlign w:val="center"/>
          </w:tcPr>
          <w:p>
            <w:pPr>
              <w:pStyle w:val="ReportTableText"/>
            </w:pPr>
            <w:r>
              <w:t>Bounded text heuristic, not a full secret/dataflow audit</w:t>
            </w:r>
          </w:p>
        </w:tc>
      </w:tr>
      <w:tr>
        <w:trPr>
          <w:cantSplit/>
        </w:trPr>
        <w:tc>
          <w:tcPr>
            <w:tcW w:type="dxa" w:w="2100"/>
            <w:vAlign w:val="center"/>
          </w:tcPr>
          <w:p>
            <w:pPr>
              <w:pStyle w:val="ReportTableText"/>
            </w:pPr>
            <w:r>
              <w:t>Hosted browser/metadata refresh</w:t>
            </w:r>
          </w:p>
        </w:tc>
        <w:tc>
          <w:tcPr>
            <w:tcW w:type="dxa" w:w="3100"/>
            <w:vAlign w:val="center"/>
          </w:tcPr>
          <w:p>
            <w:pPr>
              <w:pStyle w:val="ReportTableText"/>
            </w:pPr>
            <w:r>
              <w:t>Blocked by connectivity</w:t>
            </w:r>
          </w:p>
        </w:tc>
        <w:tc>
          <w:tcPr>
            <w:tcW w:type="dxa" w:w="4160"/>
            <w:vAlign w:val="center"/>
          </w:tcPr>
          <w:p>
            <w:pPr>
              <w:pStyle w:val="ReportTableText"/>
            </w:pPr>
            <w:r>
              <w:t>Previous READY evidence retains its original timestamp</w:t>
            </w:r>
          </w:p>
        </w:tc>
      </w:tr>
    </w:tbl>
    <w:p>
      <w:pPr>
        <w:spacing w:after="80"/>
      </w:pPr>
    </w:p>
    <w:p>
      <w:r>
        <w:t>No root, web, Auth, SQL or browser test suite was rerun for this operator-only change. No new code-coverage percentage is claimed for the audit script. The [previous repair report](2026-10-20-studio-preview-safety.md) preserves 218 root, 65 web, 197 security and 16 Auth contract checks, plus the separate measured backend/shared denominator: all 43/43 files, 2473/2492 lines (99.24%), 1883/1950 branches (96.56%), 239/242 functions (98.76%). Those historical results exclude frontend/browser, SQL, genuine hosted integrations and src/server.js lifecycle; they do not establish whole-product or new-tool coverage.</w:t>
      </w:r>
    </w:p>
    <w:p>
      <w:pPr>
        <w:pStyle w:val="Heading1"/>
      </w:pPr>
      <w:r>
        <w:t>Hosted boundary and security review</w:t>
      </w:r>
    </w:p>
    <w:p>
      <w:r>
        <w:t>Chrome navigation to the exact-source studio timed out. A supported DOM read then showed Chrome's network error page with proxy/firewall and network-diagnostic links, rather than the application. The review tab was released successfully. A read-only Vercel metadata/build refresh also failed; no new hosted acceptance is claimed. No alternate profile, protection bypass, generated credential or browser network setting change was used.</w:t>
      </w:r>
    </w:p>
    <w:p>
      <w:r>
        <w:t>The prior [protected UI-only Preview](https://virtual-ink-ui-test-bqgq1cn7w-shadowrootsec-5679.vercel.app) was READY at source de616ad739e92d2eb42f2a4a08d5ab8f80a17644 and deployment dpl_FXjE9rbrNgvyMHmZh3Q7mLS6Xb1A, inspected at 2026-10-20T08:44:03Z. That is historical build evidence. Git comparison confirms the current web application source, registry and public studio assets match that source exactly. No new deployment, aliases, domains, Auth/database/storage enablement, orders or payments are created by this audit.</w:t>
      </w:r>
    </w:p>
    <w:p>
      <w:r>
        <w:t>An attacker would need to change the reviewed public model or operator tool installation to affect this surface; no customer-controlled model URL or new runtime endpoint is introduced. The genuine malformed binary and external-resource controls demonstrate rejection by this local checker. They do not add a production upload scanner or prove the browser loader rejects every malicious model. Only repository demo geometry and the explicitly installed validator are read. External resource loading is denied; no private customer/operator data is read, and raw credentials/customer files are absent from the JSON/report. No exploitable application flaw was reproduced; no asset repair was necessary. Windows process-creation denials were retried with explicit tool approval; tests and guards were not weakened. This remains a scoped review, not a workstation/provider/production-system pentest.</w:t>
      </w:r>
    </w:p>
    <w:p>
      <w:r>
        <w:t>The [official validator documentation](https://github.com/KhronosGroup/glTF-Validator) describes glTF 2.0 structure, references, accessors and binary-data validation. The [Node API example](https://github.com/KhronosGroup/glTF-Validator/blob/main/node/README.md) documents validateBytes and the external-resource callback. The local audit uses that API with a rejecting callback. It does not infer model appearance or vendor approval from conformance.</w:t>
      </w:r>
    </w:p>
    <w:p>
      <w:pPr>
        <w:pStyle w:val="Heading1"/>
      </w:pPr>
      <w:r>
        <w:t>Team actions and handover</w:t>
      </w:r>
    </w:p>
    <w:p>
      <w:pPr>
        <w:pStyle w:val="ReportList"/>
        <w:numPr>
          <w:ilvl w:val="0"/>
          <w:numId w:val="80"/>
        </w:numPr>
      </w:pPr>
      <w:r>
        <w:t>Uchi: retain NO-GO; review the audit, restore ordinary Preview connectivity and coordinate exact-source hosted checks and genuine release decisions.</w:t>
      </w:r>
    </w:p>
    <w:p>
      <w:pPr>
        <w:pStyle w:val="ReportList"/>
        <w:numPr>
          <w:ilvl w:val="0"/>
          <w:numId w:val="80"/>
        </w:numPr>
      </w:pPr>
      <w:r>
        <w:t>Mumba: review the local audit/resource denial; continue compatible isolated Auth/MFA and private-service acceptance without enabling services on ui_test.</w:t>
      </w:r>
    </w:p>
    <w:p>
      <w:pPr>
        <w:pStyle w:val="ReportList"/>
        <w:numPr>
          <w:ilvl w:val="0"/>
          <w:numId w:val="80"/>
        </w:numPr>
      </w:pPr>
      <w:r>
        <w:t>Taizya: verify real model/layout rendering, retry/error announcements, artwork and physical touch/keyboard/low-memory behavior when browser access is restored.</w:t>
      </w:r>
    </w:p>
    <w:p>
      <w:pPr>
        <w:pStyle w:val="ReportList"/>
        <w:numPr>
          <w:ilvl w:val="0"/>
          <w:numId w:val="80"/>
        </w:numPr>
      </w:pPr>
      <w:r>
        <w:t>Lubasi: provide supplier/licence/measurements/stock/pricing evidence and the required physical-device/tester availability. Conformance is not supply proof.</w:t>
      </w:r>
    </w:p>
    <w:p>
      <w:r>
        <w:t>Rollback: remove only the new audit command/script in a reviewed follow-up commit; the isolated ignored tool directory may remain. Preserve application assets, historical reports and unrelated user changes. No production rollback rehearsal, human signoff, phase completion or Git push is recorded. The Word copy uses the existing compact_reference_guide and memo_masthead preset. Structural/table-geometry, package/XML/numbering/privacy and local-link checks pass; model hashes, issue counts, tool-package integrity and unchanged release classifications are checked against the evidence. Rendering reached conversion but failed because LibreOffice/soffice is missing (WinError 2). No page images or visual layout verification are available. Documentation is committed separately from a48a9d2 on the review branch; unrelated user work remains unstaged.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