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Ink — studio preparation safety</w:t>
      </w:r>
    </w:p>
    <w:p>
      <w:r>
        <w:t xml:space="preserve">Date: 18 October 2026. Phase 1 review slice; studio and MVP incomplete. Implementer: Codex under the Shadow Root standard. Human acceptance pending. Branch: </w:t>
      </w:r>
      <w:r>
        <w:rPr>
          <w:rFonts w:ascii="Consolas" w:hAnsi="Consolas"/>
          <w:sz w:val="20"/>
        </w:rPr>
        <w:t>codex/studio-preparation-safety</w:t>
      </w:r>
      <w:r>
        <w:t xml:space="preserve">. Deployed source: </w:t>
      </w:r>
      <w:r>
        <w:rPr>
          <w:rFonts w:ascii="Consolas" w:hAnsi="Consolas"/>
          <w:sz w:val="20"/>
        </w:rPr>
        <w:t>9edd01242b440c049bde9bc323aa8b352977338c</w:t>
      </w:r>
      <w:r>
        <w:t>.</w:t>
      </w:r>
    </w:p>
    <w:p>
      <w:pPr>
        <w:pStyle w:val="Heading1"/>
      </w:pPr>
      <w:r>
        <w:t>Change and reproduction</w:t>
      </w:r>
    </w:p>
    <w:p>
      <w:r>
        <w:t>A pending local artwork decode could append to a newly reopened same-product device draft. A second race admitted thirteen layers if a customer added the twelfth text layer while artwork was decoding. Both failures were reproduced against the original component handlers: actual layer counts were 1 instead of 0 for the reopened draft and 13 instead of the allowed 12. Both regressions now pass. These are local design-integrity findings, not demonstrated server access or code execution vulnerabilities.</w:t>
      </w:r>
    </w:p>
    <w:p>
      <w:r>
        <w:t>The studio now permits one preparation at a time and offers Cancel preparation. A valid device-draft reopen, product change, undo/redo or unmount invalidates unfinished work. Editing while a JSON replacement or layout reference is pending cancels that work and preserves the newer edit. Artwork appends to the latest configuration only if the twelve-layer and existing serialized-size limits still pass. Rejected additions preserve the prior design/history and never claim success.</w:t>
      </w:r>
    </w:p>
    <w:p>
      <w:r>
        <w:t>Layout references check cancellation after asynchronous painting, download only the captured configuration and separate surfaces, and advance their local version only after initiating a successful download. Cancelled work releases its temporary canvas when painting settles. A stale failure cannot overwrite a newer message or clear the newer job's busy state. A reference remains unapproved local output; no vendor proof, customer approval or production authority is created.</w:t>
      </w:r>
    </w:p>
    <w:p>
      <w:r>
        <w:t>Cancellation suppresses the result; it cannot forcibly stop the browser decoder, erase all retained bytes immediately or revoke a download already initiated. Closing the editor invalidates pending work, but garbage collection, browser downloads and same-origin device storage remain outside guaranteed erasure.</w:t>
      </w:r>
    </w:p>
    <w:p>
      <w:pPr>
        <w:pStyle w:val="Heading1"/>
      </w:pPr>
      <w:r>
        <w:t>Changed surface and preservation</w:t>
      </w:r>
    </w:p>
    <w:p>
      <w:pPr>
        <w:pStyle w:val="ReportList"/>
        <w:numPr>
          <w:ilvl w:val="0"/>
          <w:numId w:val="80"/>
        </w:numPr>
      </w:pPr>
      <w:r>
        <w:rPr>
          <w:rFonts w:ascii="Consolas" w:hAnsi="Consolas"/>
          <w:sz w:val="20"/>
        </w:rPr>
        <w:t>/studio</w:t>
      </w:r>
      <w:r>
        <w:t xml:space="preserve">: </w:t>
      </w:r>
      <w:r>
        <w:rPr>
          <w:rFonts w:ascii="Consolas" w:hAnsi="Consolas"/>
          <w:sz w:val="20"/>
        </w:rPr>
        <w:t>apps/web/src/components/product-studio.tsx</w:t>
      </w:r>
      <w:r>
        <w:t xml:space="preserve"> owns pending preparation, cancellation, commit-time limits, guarded feedback and reference cleanup.</w:t>
      </w:r>
    </w:p>
    <w:p>
      <w:pPr>
        <w:pStyle w:val="ReportList"/>
        <w:numPr>
          <w:ilvl w:val="0"/>
          <w:numId w:val="80"/>
        </w:numPr>
      </w:pPr>
      <w:r>
        <w:rPr>
          <w:rFonts w:ascii="Consolas" w:hAnsi="Consolas"/>
          <w:sz w:val="20"/>
        </w:rPr>
        <w:t>scripts/studio-ui-checks.mjs</w:t>
      </w:r>
      <w:r>
        <w:t>: thirteen deterministic handler tests with controlled decoder/painter timing and synthetic hooks/canvases/storage/downloads.</w:t>
      </w:r>
    </w:p>
    <w:p>
      <w:pPr>
        <w:pStyle w:val="ReportList"/>
        <w:numPr>
          <w:ilvl w:val="0"/>
          <w:numId w:val="80"/>
        </w:numPr>
      </w:pPr>
      <w:r>
        <w:rPr>
          <w:rFonts w:ascii="Consolas" w:hAnsi="Consolas"/>
          <w:sz w:val="20"/>
        </w:rPr>
        <w:t>package.json</w:t>
      </w:r>
      <w:r>
        <w:t xml:space="preserve">: adds those tests to </w:t>
      </w:r>
      <w:r>
        <w:rPr>
          <w:rFonts w:ascii="Consolas" w:hAnsi="Consolas"/>
          <w:sz w:val="20"/>
        </w:rPr>
        <w:t>test:web</w:t>
      </w:r>
      <w:r>
        <w:t>; no dependency change.</w:t>
      </w:r>
    </w:p>
    <w:p>
      <w:pPr>
        <w:pStyle w:val="ReportList"/>
        <w:numPr>
          <w:ilvl w:val="0"/>
          <w:numId w:val="80"/>
        </w:numPr>
      </w:pPr>
      <w:r>
        <w:rPr>
          <w:rFonts w:ascii="Consolas" w:hAnsi="Consolas"/>
          <w:sz w:val="20"/>
        </w:rPr>
        <w:t>docs/product-studio.md</w:t>
      </w:r>
      <w:r>
        <w:t>: documents operation rules and cancellation limits.</w:t>
      </w:r>
    </w:p>
    <w:p>
      <w:r>
        <w:t xml:space="preserve">No API, database, authentication, storage, role, payment, supplier, model, logo, font, asset licence or production configuration contract changed. No server upload endpoint is enabled. Supplied brand assets are preserved without changes. Unrelated generated </w:t>
      </w:r>
      <w:r>
        <w:rPr>
          <w:rFonts w:ascii="Consolas" w:hAnsi="Consolas"/>
          <w:sz w:val="20"/>
        </w:rPr>
        <w:t>next-env.d.ts</w:t>
      </w:r>
      <w:r>
        <w:t xml:space="preserve"> and the untracked reference directory remain unstaged. Product data stays illustrative/unverified; real prices, stock, vendor supply and production assets remain unbuilt or unapproved. No new mocks enter the product; decoder/painter mocks exist only in the explicit test harness.</w:t>
      </w:r>
    </w:p>
    <w:p>
      <w:pPr>
        <w:pStyle w:val="Heading1"/>
      </w:pPr>
      <w:r>
        <w:t>Verification results and exact scope</w:t>
      </w:r>
    </w:p>
    <w:p>
      <w:r>
        <w:t>Local reviewed runtime: Node 24.21.0. No failed final required check is waived.</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0D8E2"/>
          <w:left w:val="single" w:sz="4" w:color="D0D8E2"/>
          <w:bottom w:val="single" w:sz="4" w:color="D0D8E2"/>
          <w:right w:val="single" w:sz="4" w:color="D0D8E2"/>
          <w:insideH w:val="single" w:sz="4" w:color="D0D8E2"/>
          <w:insideV w:val="single" w:sz="4" w:color="D0D8E2"/>
        </w:tblBorders>
      </w:tblPr>
      <w:tblGrid>
        <w:gridCol w:w="2100"/>
        <w:gridCol w:w="3100"/>
        <w:gridCol w:w="4160"/>
      </w:tblGrid>
      <w:tr>
        <w:trPr>
          <w:cantSplit/>
          <w:tblHeader/>
        </w:trPr>
        <w:tc>
          <w:tcPr>
            <w:tcW w:type="dxa" w:w="2100"/>
            <w:vAlign w:val="center"/>
            <w:shd w:val="clear" w:fill="E8EEF5"/>
          </w:tcPr>
          <w:p>
            <w:pPr>
              <w:pStyle w:val="ReportTableText"/>
            </w:pPr>
            <w:r>
              <w:rPr>
                <w:b/>
              </w:rPr>
              <w:t>Scope</w:t>
            </w:r>
          </w:p>
        </w:tc>
        <w:tc>
          <w:tcPr>
            <w:tcW w:type="dxa" w:w="3100"/>
            <w:vAlign w:val="center"/>
            <w:shd w:val="clear" w:fill="E8EEF5"/>
          </w:tcPr>
          <w:p>
            <w:pPr>
              <w:pStyle w:val="ReportTableText"/>
            </w:pPr>
            <w:r>
              <w:rPr>
                <w:b/>
              </w:rPr>
              <w:t>Result</w:t>
            </w:r>
          </w:p>
        </w:tc>
        <w:tc>
          <w:tcPr>
            <w:tcW w:type="dxa" w:w="4160"/>
            <w:vAlign w:val="center"/>
            <w:shd w:val="clear" w:fill="E8EEF5"/>
          </w:tcPr>
          <w:p>
            <w:pPr>
              <w:pStyle w:val="ReportTableText"/>
            </w:pPr>
            <w:r>
              <w:rPr>
                <w:b/>
              </w:rPr>
              <w:t>Practical limit</w:t>
            </w:r>
          </w:p>
        </w:tc>
      </w:tr>
      <w:tr>
        <w:trPr>
          <w:cantSplit/>
        </w:trPr>
        <w:tc>
          <w:tcPr>
            <w:tcW w:type="dxa" w:w="2100"/>
            <w:vAlign w:val="center"/>
          </w:tcPr>
          <w:p>
            <w:pPr>
              <w:pStyle w:val="ReportTableText"/>
            </w:pPr>
            <w:r>
              <w:t>Root tests</w:t>
            </w:r>
          </w:p>
        </w:tc>
        <w:tc>
          <w:tcPr>
            <w:tcW w:type="dxa" w:w="3100"/>
            <w:vAlign w:val="center"/>
          </w:tcPr>
          <w:p>
            <w:pPr>
              <w:pStyle w:val="ReportTableText"/>
            </w:pPr>
            <w:r>
              <w:t>218 pass, 0 fail, 0 skipped</w:t>
            </w:r>
          </w:p>
        </w:tc>
        <w:tc>
          <w:tcPr>
            <w:tcW w:type="dxa" w:w="4160"/>
            <w:vAlign w:val="center"/>
          </w:tcPr>
          <w:p>
            <w:pPr>
              <w:pStyle w:val="ReportTableText"/>
            </w:pPr>
            <w:r>
              <w:t>Backend/shared unit scope</w:t>
            </w:r>
          </w:p>
        </w:tc>
      </w:tr>
      <w:tr>
        <w:trPr>
          <w:cantSplit/>
        </w:trPr>
        <w:tc>
          <w:tcPr>
            <w:tcW w:type="dxa" w:w="2100"/>
            <w:vAlign w:val="center"/>
          </w:tcPr>
          <w:p>
            <w:pPr>
              <w:pStyle w:val="ReportTableText"/>
            </w:pPr>
            <w:r>
              <w:t>Coverage inventory</w:t>
            </w:r>
          </w:p>
        </w:tc>
        <w:tc>
          <w:tcPr>
            <w:tcW w:type="dxa" w:w="3100"/>
            <w:vAlign w:val="center"/>
          </w:tcPr>
          <w:p>
            <w:pPr>
              <w:pStyle w:val="ReportTableText"/>
            </w:pPr>
            <w:r>
              <w:t>43/43 executable files, none omitted</w:t>
            </w:r>
          </w:p>
        </w:tc>
        <w:tc>
          <w:tcPr>
            <w:tcW w:type="dxa" w:w="4160"/>
            <w:vAlign w:val="center"/>
          </w:tcPr>
          <w:p>
            <w:pPr>
              <w:pStyle w:val="ReportTableText"/>
            </w:pPr>
            <w:r>
              <w:t>Not frontend or whole-product coverage</w:t>
            </w:r>
          </w:p>
        </w:tc>
      </w:tr>
      <w:tr>
        <w:trPr>
          <w:cantSplit/>
        </w:trPr>
        <w:tc>
          <w:tcPr>
            <w:tcW w:type="dxa" w:w="2100"/>
            <w:vAlign w:val="center"/>
          </w:tcPr>
          <w:p>
            <w:pPr>
              <w:pStyle w:val="ReportTableText"/>
            </w:pPr>
            <w:r>
              <w:t>Lines</w:t>
            </w:r>
          </w:p>
        </w:tc>
        <w:tc>
          <w:tcPr>
            <w:tcW w:type="dxa" w:w="3100"/>
            <w:vAlign w:val="center"/>
          </w:tcPr>
          <w:p>
            <w:pPr>
              <w:pStyle w:val="ReportTableText"/>
            </w:pPr>
            <w:r>
              <w:t>2473/2492 = 99.23756019261637%</w:t>
            </w:r>
          </w:p>
        </w:tc>
        <w:tc>
          <w:tcPr>
            <w:tcW w:type="dxa" w:w="4160"/>
            <w:vAlign w:val="center"/>
          </w:tcPr>
          <w:p>
            <w:pPr>
              <w:pStyle w:val="ReportTableText"/>
            </w:pPr>
            <w:r>
              <w:t>95% gate passes</w:t>
            </w:r>
          </w:p>
        </w:tc>
      </w:tr>
      <w:tr>
        <w:trPr>
          <w:cantSplit/>
        </w:trPr>
        <w:tc>
          <w:tcPr>
            <w:tcW w:type="dxa" w:w="2100"/>
            <w:vAlign w:val="center"/>
          </w:tcPr>
          <w:p>
            <w:pPr>
              <w:pStyle w:val="ReportTableText"/>
            </w:pPr>
            <w:r>
              <w:t>Branches</w:t>
            </w:r>
          </w:p>
        </w:tc>
        <w:tc>
          <w:tcPr>
            <w:tcW w:type="dxa" w:w="3100"/>
            <w:vAlign w:val="center"/>
          </w:tcPr>
          <w:p>
            <w:pPr>
              <w:pStyle w:val="ReportTableText"/>
            </w:pPr>
            <w:r>
              <w:t>1883/1950 = 96.56410256410257%</w:t>
            </w:r>
          </w:p>
        </w:tc>
        <w:tc>
          <w:tcPr>
            <w:tcW w:type="dxa" w:w="4160"/>
            <w:vAlign w:val="center"/>
          </w:tcPr>
          <w:p>
            <w:pPr>
              <w:pStyle w:val="ReportTableText"/>
            </w:pPr>
            <w:r>
              <w:t>95% gate passes</w:t>
            </w:r>
          </w:p>
        </w:tc>
      </w:tr>
      <w:tr>
        <w:trPr>
          <w:cantSplit/>
        </w:trPr>
        <w:tc>
          <w:tcPr>
            <w:tcW w:type="dxa" w:w="2100"/>
            <w:vAlign w:val="center"/>
          </w:tcPr>
          <w:p>
            <w:pPr>
              <w:pStyle w:val="ReportTableText"/>
            </w:pPr>
            <w:r>
              <w:t>Functions</w:t>
            </w:r>
          </w:p>
        </w:tc>
        <w:tc>
          <w:tcPr>
            <w:tcW w:type="dxa" w:w="3100"/>
            <w:vAlign w:val="center"/>
          </w:tcPr>
          <w:p>
            <w:pPr>
              <w:pStyle w:val="ReportTableText"/>
            </w:pPr>
            <w:r>
              <w:t>239/242 = 98.7603305785124%</w:t>
            </w:r>
          </w:p>
        </w:tc>
        <w:tc>
          <w:tcPr>
            <w:tcW w:type="dxa" w:w="4160"/>
            <w:vAlign w:val="center"/>
          </w:tcPr>
          <w:p>
            <w:pPr>
              <w:pStyle w:val="ReportTableText"/>
            </w:pPr>
            <w:r>
              <w:t>95% gate passes</w:t>
            </w:r>
          </w:p>
        </w:tc>
      </w:tr>
      <w:tr>
        <w:trPr>
          <w:cantSplit/>
        </w:trPr>
        <w:tc>
          <w:tcPr>
            <w:tcW w:type="dxa" w:w="2100"/>
            <w:vAlign w:val="center"/>
          </w:tcPr>
          <w:p>
            <w:pPr>
              <w:pStyle w:val="ReportTableText"/>
            </w:pPr>
            <w:r>
              <w:t>Security suite</w:t>
            </w:r>
          </w:p>
        </w:tc>
        <w:tc>
          <w:tcPr>
            <w:tcW w:type="dxa" w:w="3100"/>
            <w:vAlign w:val="center"/>
          </w:tcPr>
          <w:p>
            <w:pPr>
              <w:pStyle w:val="ReportTableText"/>
            </w:pPr>
            <w:r>
              <w:t>197 pass</w:t>
            </w:r>
          </w:p>
        </w:tc>
        <w:tc>
          <w:tcPr>
            <w:tcW w:type="dxa" w:w="4160"/>
            <w:vAlign w:val="center"/>
          </w:tcPr>
          <w:p>
            <w:pPr>
              <w:pStyle w:val="ReportTableText"/>
            </w:pPr>
            <w:r>
              <w:t>Scoped regression tests</w:t>
            </w:r>
          </w:p>
        </w:tc>
      </w:tr>
      <w:tr>
        <w:trPr>
          <w:cantSplit/>
        </w:trPr>
        <w:tc>
          <w:tcPr>
            <w:tcW w:type="dxa" w:w="2100"/>
            <w:vAlign w:val="center"/>
          </w:tcPr>
          <w:p>
            <w:pPr>
              <w:pStyle w:val="ReportTableText"/>
            </w:pPr>
            <w:r>
              <w:t>Web checks</w:t>
            </w:r>
          </w:p>
        </w:tc>
        <w:tc>
          <w:tcPr>
            <w:tcW w:type="dxa" w:w="3100"/>
            <w:vAlign w:val="center"/>
          </w:tcPr>
          <w:p>
            <w:pPr>
              <w:pStyle w:val="ReportTableText"/>
            </w:pPr>
            <w:r>
              <w:t>44 pass, including 13 new studio tests</w:t>
            </w:r>
          </w:p>
        </w:tc>
        <w:tc>
          <w:tcPr>
            <w:tcW w:type="dxa" w:w="4160"/>
            <w:vAlign w:val="center"/>
          </w:tcPr>
          <w:p>
            <w:pPr>
              <w:pStyle w:val="ReportTableText"/>
            </w:pPr>
            <w:r>
              <w:t>SSR/handlers; synthetic hooks and deferred decoder/painter</w:t>
            </w:r>
          </w:p>
        </w:tc>
      </w:tr>
      <w:tr>
        <w:trPr>
          <w:cantSplit/>
        </w:trPr>
        <w:tc>
          <w:tcPr>
            <w:tcW w:type="dxa" w:w="2100"/>
            <w:vAlign w:val="center"/>
          </w:tcPr>
          <w:p>
            <w:pPr>
              <w:pStyle w:val="ReportTableText"/>
            </w:pPr>
            <w:r>
              <w:t>Auth SDK/Next checks</w:t>
            </w:r>
          </w:p>
        </w:tc>
        <w:tc>
          <w:tcPr>
            <w:tcW w:type="dxa" w:w="3100"/>
            <w:vAlign w:val="center"/>
          </w:tcPr>
          <w:p>
            <w:pPr>
              <w:pStyle w:val="ReportTableText"/>
            </w:pPr>
            <w:r>
              <w:t>16 pass</w:t>
            </w:r>
          </w:p>
        </w:tc>
        <w:tc>
          <w:tcPr>
            <w:tcW w:type="dxa" w:w="4160"/>
            <w:vAlign w:val="center"/>
          </w:tcPr>
          <w:p>
            <w:pPr>
              <w:pStyle w:val="ReportTableText"/>
            </w:pPr>
            <w:r>
              <w:t>Synthetic provider checks</w:t>
            </w:r>
          </w:p>
        </w:tc>
      </w:tr>
      <w:tr>
        <w:trPr>
          <w:cantSplit/>
        </w:trPr>
        <w:tc>
          <w:tcPr>
            <w:tcW w:type="dxa" w:w="2100"/>
            <w:vAlign w:val="center"/>
          </w:tcPr>
          <w:p>
            <w:pPr>
              <w:pStyle w:val="ReportTableText"/>
            </w:pPr>
            <w:r>
              <w:t>Studio HTTP</w:t>
            </w:r>
          </w:p>
        </w:tc>
        <w:tc>
          <w:tcPr>
            <w:tcW w:type="dxa" w:w="3100"/>
            <w:vAlign w:val="center"/>
          </w:tcPr>
          <w:p>
            <w:pPr>
              <w:pStyle w:val="ReportTableText"/>
            </w:pPr>
            <w:r>
              <w:t>74 assertions pass</w:t>
            </w:r>
          </w:p>
        </w:tc>
        <w:tc>
          <w:tcPr>
            <w:tcW w:type="dxa" w:w="4160"/>
            <w:vAlign w:val="center"/>
          </w:tcPr>
          <w:p>
            <w:pPr>
              <w:pStyle w:val="ReportTableText"/>
            </w:pPr>
            <w:r>
              <w:t>Loopback built page and blank assets</w:t>
            </w:r>
          </w:p>
        </w:tc>
      </w:tr>
      <w:tr>
        <w:trPr>
          <w:cantSplit/>
        </w:trPr>
        <w:tc>
          <w:tcPr>
            <w:tcW w:type="dxa" w:w="2100"/>
            <w:vAlign w:val="center"/>
          </w:tcPr>
          <w:p>
            <w:pPr>
              <w:pStyle w:val="ReportTableText"/>
            </w:pPr>
            <w:r>
              <w:t>Local client artifacts</w:t>
            </w:r>
          </w:p>
        </w:tc>
        <w:tc>
          <w:tcPr>
            <w:tcW w:type="dxa" w:w="3100"/>
            <w:vAlign w:val="center"/>
          </w:tcPr>
          <w:p>
            <w:pPr>
              <w:pStyle w:val="ReportTableText"/>
            </w:pPr>
            <w:r>
              <w:t>63 files; no findings</w:t>
            </w:r>
          </w:p>
        </w:tc>
        <w:tc>
          <w:tcPr>
            <w:tcW w:type="dxa" w:w="4160"/>
            <w:vAlign w:val="center"/>
          </w:tcPr>
          <w:p>
            <w:pPr>
              <w:pStyle w:val="ReportTableText"/>
            </w:pPr>
            <w:r>
              <w:t>Not a deployed bundle audit</w:t>
            </w:r>
          </w:p>
        </w:tc>
      </w:tr>
      <w:tr>
        <w:trPr>
          <w:cantSplit/>
        </w:trPr>
        <w:tc>
          <w:tcPr>
            <w:tcW w:type="dxa" w:w="2100"/>
            <w:vAlign w:val="center"/>
          </w:tcPr>
          <w:p>
            <w:pPr>
              <w:pStyle w:val="ReportTableText"/>
            </w:pPr>
            <w:r>
              <w:t>Repository heuristics</w:t>
            </w:r>
          </w:p>
        </w:tc>
        <w:tc>
          <w:tcPr>
            <w:tcW w:type="dxa" w:w="3100"/>
            <w:vAlign w:val="center"/>
          </w:tcPr>
          <w:p>
            <w:pPr>
              <w:pStyle w:val="ReportTableText"/>
            </w:pPr>
            <w:r>
              <w:t>425 scanned, 110 skipped; no findings</w:t>
            </w:r>
          </w:p>
        </w:tc>
        <w:tc>
          <w:tcPr>
            <w:tcW w:type="dxa" w:w="4160"/>
            <w:vAlign w:val="center"/>
          </w:tcPr>
          <w:p>
            <w:pPr>
              <w:pStyle w:val="ReportTableText"/>
            </w:pPr>
            <w:r>
              <w:t>Heuristic scope, not proof of no secrets</w:t>
            </w:r>
          </w:p>
        </w:tc>
      </w:tr>
      <w:tr>
        <w:trPr>
          <w:cantSplit/>
        </w:trPr>
        <w:tc>
          <w:tcPr>
            <w:tcW w:type="dxa" w:w="2100"/>
            <w:vAlign w:val="center"/>
          </w:tcPr>
          <w:p>
            <w:pPr>
              <w:pStyle w:val="ReportTableText"/>
            </w:pPr>
            <w:r>
              <w:t>Types / lint / build</w:t>
            </w:r>
          </w:p>
        </w:tc>
        <w:tc>
          <w:tcPr>
            <w:tcW w:type="dxa" w:w="3100"/>
            <w:vAlign w:val="center"/>
          </w:tcPr>
          <w:p>
            <w:pPr>
              <w:pStyle w:val="ReportTableText"/>
            </w:pPr>
            <w:r>
              <w:t>Strict backend/web types, source lint and optimized Next build pass</w:t>
            </w:r>
          </w:p>
        </w:tc>
        <w:tc>
          <w:tcPr>
            <w:tcW w:type="dxa" w:w="4160"/>
            <w:vAlign w:val="center"/>
          </w:tcPr>
          <w:p>
            <w:pPr>
              <w:pStyle w:val="ReportTableText"/>
            </w:pPr>
            <w:r>
              <w:t>Local operation</w:t>
            </w:r>
          </w:p>
        </w:tc>
      </w:tr>
      <w:tr>
        <w:trPr>
          <w:cantSplit/>
        </w:trPr>
        <w:tc>
          <w:tcPr>
            <w:tcW w:type="dxa" w:w="2100"/>
            <w:vAlign w:val="center"/>
          </w:tcPr>
          <w:p>
            <w:pPr>
              <w:pStyle w:val="ReportTableText"/>
            </w:pPr>
            <w:r>
              <w:t>Dependency audits</w:t>
            </w:r>
          </w:p>
        </w:tc>
        <w:tc>
          <w:tcPr>
            <w:tcW w:type="dxa" w:w="3100"/>
            <w:vAlign w:val="center"/>
          </w:tcPr>
          <w:p>
            <w:pPr>
              <w:pStyle w:val="ReportTableText"/>
            </w:pPr>
            <w:r>
              <w:t>Root and web: zero findings</w:t>
            </w:r>
          </w:p>
        </w:tc>
        <w:tc>
          <w:tcPr>
            <w:tcW w:type="dxa" w:w="4160"/>
            <w:vAlign w:val="center"/>
          </w:tcPr>
          <w:p>
            <w:pPr>
              <w:pStyle w:val="ReportTableText"/>
            </w:pPr>
            <w:r>
              <w:t>Does not settle runtime advisories</w:t>
            </w:r>
          </w:p>
        </w:tc>
      </w:tr>
      <w:tr>
        <w:trPr>
          <w:cantSplit/>
        </w:trPr>
        <w:tc>
          <w:tcPr>
            <w:tcW w:type="dxa" w:w="2100"/>
            <w:vAlign w:val="center"/>
          </w:tcPr>
          <w:p>
            <w:pPr>
              <w:pStyle w:val="ReportTableText"/>
            </w:pPr>
            <w:r>
              <w:t>SQL / genuine MFA</w:t>
            </w:r>
          </w:p>
        </w:tc>
        <w:tc>
          <w:tcPr>
            <w:tcW w:type="dxa" w:w="3100"/>
            <w:vAlign w:val="center"/>
          </w:tcPr>
          <w:p>
            <w:pPr>
              <w:pStyle w:val="ReportTableText"/>
            </w:pPr>
            <w:r>
              <w:t>Not rerun</w:t>
            </w:r>
          </w:p>
        </w:tc>
        <w:tc>
          <w:tcPr>
            <w:tcW w:type="dxa" w:w="4160"/>
            <w:vAlign w:val="center"/>
          </w:tcPr>
          <w:p>
            <w:pPr>
              <w:pStyle w:val="ReportTableText"/>
            </w:pPr>
            <w:r>
              <w:t>No SQL/Auth changes; historical results are not fresh acceptance</w:t>
            </w:r>
          </w:p>
        </w:tc>
      </w:tr>
    </w:tbl>
    <w:p>
      <w:pPr>
        <w:spacing w:after="80"/>
      </w:pPr>
    </w:p>
    <w:p>
      <w:r>
        <w:t xml:space="preserve">Commands: </w:t>
      </w:r>
      <w:r>
        <w:rPr>
          <w:rFonts w:ascii="Consolas" w:hAnsi="Consolas"/>
          <w:sz w:val="20"/>
        </w:rPr>
        <w:t>.private/verify-phase1-readiness.ps1</w:t>
      </w:r>
      <w:r>
        <w:t xml:space="preserve">, focused Node studio handler tests, </w:t>
      </w:r>
      <w:r>
        <w:rPr>
          <w:rFonts w:ascii="Consolas" w:hAnsi="Consolas"/>
          <w:sz w:val="20"/>
        </w:rPr>
        <w:t>node scripts/studio-http-checks.mjs</w:t>
      </w:r>
      <w:r>
        <w:t xml:space="preserve">, </w:t>
      </w:r>
      <w:r>
        <w:rPr>
          <w:rFonts w:ascii="Consolas" w:hAnsi="Consolas"/>
          <w:sz w:val="20"/>
        </w:rPr>
        <w:t>node scripts/security-artifact-check.mjs</w:t>
      </w:r>
      <w:r>
        <w:t xml:space="preserve">, root/web </w:t>
      </w:r>
      <w:r>
        <w:rPr>
          <w:rFonts w:ascii="Consolas" w:hAnsi="Consolas"/>
          <w:sz w:val="20"/>
        </w:rPr>
        <w:t>npm audit --json</w:t>
      </w:r>
      <w:r>
        <w:t>. The first full run had 217 passes and one failed environment-guard subprocess assertion: child creation returned no exit status in the sandbox. The complete suite was rerun outside that restriction and all 218 tests passed. No guard or assertion was weakened. Initial new race tests failed as expected before the fix. Four early painter-test failures were harness scheduling errors: the JSX handler intentionally returns void, so the tests needed to wait for deferred work to settle. Final thirteen tests pass with the real handler return behaviour.</w:t>
      </w:r>
    </w:p>
    <w:p>
      <w:r>
        <w:t>Local browser DOM inspection confirmed the studio heading, labelled file inputs, closed cart, normal controls and initial private-tab notice. The snapshot API failed; bounded DOM reads were used. The synthetic PNG chooser flow timed out and the connection reset. A later connection retry also timed out. No completed browser PNG/JSON import, race or download is claimed; handler tests do not replace that acceptance. The existing browser file-selection flow was not bypassed.</w:t>
      </w:r>
    </w:p>
    <w:p>
      <w:r>
        <w:t>The Chrome troubleshooting guidance is to enable Allow access to file URLs in the Codex extension's Details page at chrome://extensions; see the [official upload instructions](https://developers.openai.com/codex/app/chrome-extension#upload-files). This guidance was delivered to Uchi. No extension, native host or permissions were changed. Final tab cleanup could not be confirmed after the connection resets.</w:t>
      </w:r>
    </w:p>
    <w:p>
      <w:pPr>
        <w:pStyle w:val="Heading1"/>
      </w:pPr>
      <w:r>
        <w:t>Security review</w:t>
      </w:r>
    </w:p>
    <w:p>
      <w:r>
        <w:t>An affected customer needs only ordinary local editing/reopen actions while a decode is pending; no attacker account is required to trigger the two integrity failures. Untrusted artwork/imported JSON still requires explicit local selection. Existing type/signature, PNG re-encoding, dimension/size, exact-key and safe-zone checks remain. The late commit guard now closes the layer-count bypass. Captured configuration, generation checks and guarded errors suppress stale downloads and prevent one job from mutating another job's UI state.</w:t>
      </w:r>
    </w:p>
    <w:p>
      <w:r>
        <w:t>Tests cover cancellation, duplicate jobs, old success/failure during a new job, same-product reopen, missing/invalid drafts, product/history changes, unmount, invalid/oversized JSON, serialized-size rejection, snapshot surfaces, local revision numbering and fixed error messages. The size-boundary case uses synthetic prepared output; it is not real image-decoder acceptance. Paint tests simulate canvas output and prove control flow/configuration binding, not pixel correctness.</w:t>
      </w:r>
    </w:p>
    <w:p>
      <w:r>
        <w:t>No real customer artwork, credentials or simulated human approvals were used. Tool/document output was treated as untrusted data. Only reviewed committed source entered the deployment snapshot; private fixtures, environments, supplied untracked assets, Word reports and tool/Git metadata were excluded. No live service, paid plan, security policy, browser permission or secret changed. This is scoped application review, not a provider/workstation/system pentest.</w:t>
      </w:r>
    </w:p>
    <w:p>
      <w:r>
        <w:t>The [Node HIGH security notice](https://nodejs.org/en/blog/vulnerability/october-2026-security-releases) was rechecked. Fixes for 24.x are scheduled on or shortly after 21 October; the sensitive release gate stays open. Disabled UI foundation work is allowed by the working agreement. Passing the local minimum-runtime check and dependency audits does not resolve that advisory.</w:t>
      </w:r>
    </w:p>
    <w:p>
      <w:pPr>
        <w:pStyle w:val="Heading1"/>
      </w:pPr>
      <w:r>
        <w:t>Hosting evidence and phase gates</w:t>
      </w:r>
    </w:p>
    <w:p>
      <w:r>
        <w:t>Protected build URL: https://virtual-ink-ui-test-3gdu1pvhw-shadowrootsec-5679.vercel.app/studio</w:t>
      </w:r>
    </w:p>
    <w:p>
      <w:r>
        <w:t xml:space="preserve">Project: </w:t>
      </w:r>
      <w:r>
        <w:rPr>
          <w:rFonts w:ascii="Consolas" w:hAnsi="Consolas"/>
          <w:sz w:val="20"/>
        </w:rPr>
        <w:t>shadowrootsec-5679/virtual-ink-ui-test</w:t>
      </w:r>
      <w:r>
        <w:t xml:space="preserve">, </w:t>
      </w:r>
      <w:r>
        <w:rPr>
          <w:rFonts w:ascii="Consolas" w:hAnsi="Consolas"/>
          <w:sz w:val="20"/>
        </w:rPr>
        <w:t>prj_aqLrX1gsSVb1XINH5YNGkp1aYazH</w:t>
      </w:r>
      <w:r>
        <w:t xml:space="preserve">. Deployment: </w:t>
      </w:r>
      <w:r>
        <w:rPr>
          <w:rFonts w:ascii="Consolas" w:hAnsi="Consolas"/>
          <w:sz w:val="20"/>
        </w:rPr>
        <w:t>dpl_JAsZQmPsfmZ6qKSmHNFUjFTwA5BG</w:t>
      </w:r>
      <w:r>
        <w:t xml:space="preserve">, READY, source above, 410 reviewed upload files. Actual Vercel target: Production; application designation: </w:t>
      </w:r>
      <w:r>
        <w:rPr>
          <w:rFonts w:ascii="Consolas" w:hAnsi="Consolas"/>
          <w:sz w:val="20"/>
        </w:rPr>
        <w:t>ui_test</w:t>
      </w:r>
      <w:r>
        <w:t xml:space="preserve"> under the existing user-approved isolated exception. This is not a full-service Preview or a release of the original application. Protection, project/root identity, sixteen disabled-only configuration records and no Git/integration inheritance were checked before deployment. No database/provider credential or service binding was supplied; no domain or live alias was promoted.</w:t>
      </w:r>
    </w:p>
    <w:p>
      <w:r>
        <w:t>Remote logs pass UI-test environment isolation, source lint, compilation (5.4 s) and 22-page generation (1.144 s); both installs report zero advisories. npm's cache-dir deprecation warning is recorded. These are build timings, not Lighthouse or customer performance measurements. Hosted browser acceptance of this source is blocked by the browser connection; earlier deployment checks remain historical.</w:t>
      </w:r>
    </w:p>
    <w:p>
      <w:r>
        <w:t xml:space="preserve">Read-only checks before and after the update confirm the original live deployment is still </w:t>
      </w:r>
      <w:r>
        <w:rPr>
          <w:rFonts w:ascii="Consolas" w:hAnsi="Consolas"/>
          <w:sz w:val="20"/>
        </w:rPr>
        <w:t>dpl_7f4Kj1XeRy1Mf3MrQiSV9PEs7PWB</w:t>
      </w:r>
      <w:r>
        <w:t xml:space="preserve">, source </w:t>
      </w:r>
      <w:r>
        <w:rPr>
          <w:rFonts w:ascii="Consolas" w:hAnsi="Consolas"/>
          <w:sz w:val="20"/>
        </w:rPr>
        <w:t>a6736376b09ba7c3242495ff86b4bb2eea62f20c</w:t>
      </w:r>
      <w:r>
        <w:t>, READY on main. It was not deployed, promoted or reconfigured. The separate acceptance target was not changed.</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0D8E2"/>
          <w:left w:val="single" w:sz="4" w:color="D0D8E2"/>
          <w:bottom w:val="single" w:sz="4" w:color="D0D8E2"/>
          <w:right w:val="single" w:sz="4" w:color="D0D8E2"/>
          <w:insideH w:val="single" w:sz="4" w:color="D0D8E2"/>
          <w:insideV w:val="single" w:sz="4" w:color="D0D8E2"/>
        </w:tblBorders>
      </w:tblPr>
      <w:tblGrid>
        <w:gridCol w:w="2100"/>
        <w:gridCol w:w="3100"/>
        <w:gridCol w:w="4160"/>
      </w:tblGrid>
      <w:tr>
        <w:trPr>
          <w:cantSplit/>
          <w:tblHeader/>
        </w:trPr>
        <w:tc>
          <w:tcPr>
            <w:tcW w:type="dxa" w:w="2100"/>
            <w:vAlign w:val="center"/>
            <w:shd w:val="clear" w:fill="E8EEF5"/>
          </w:tcPr>
          <w:p>
            <w:pPr>
              <w:pStyle w:val="ReportTableText"/>
            </w:pPr>
            <w:r>
              <w:rPr>
                <w:b/>
              </w:rPr>
              <w:t>Gate</w:t>
            </w:r>
          </w:p>
        </w:tc>
        <w:tc>
          <w:tcPr>
            <w:tcW w:type="dxa" w:w="3100"/>
            <w:vAlign w:val="center"/>
            <w:shd w:val="clear" w:fill="E8EEF5"/>
          </w:tcPr>
          <w:p>
            <w:pPr>
              <w:pStyle w:val="ReportTableText"/>
            </w:pPr>
            <w:r>
              <w:rPr>
                <w:b/>
              </w:rPr>
              <w:t>Current phase status</w:t>
            </w:r>
          </w:p>
        </w:tc>
        <w:tc>
          <w:tcPr>
            <w:tcW w:type="dxa" w:w="4160"/>
            <w:vAlign w:val="center"/>
            <w:shd w:val="clear" w:fill="E8EEF5"/>
          </w:tcPr>
          <w:p>
            <w:pPr>
              <w:pStyle w:val="ReportTableText"/>
            </w:pPr>
            <w:r>
              <w:rPr>
                <w:b/>
              </w:rPr>
              <w:t>Evidence / owner</w:t>
            </w:r>
          </w:p>
        </w:tc>
      </w:tr>
      <w:tr>
        <w:trPr>
          <w:cantSplit/>
        </w:trPr>
        <w:tc>
          <w:tcPr>
            <w:tcW w:type="dxa" w:w="2100"/>
            <w:vAlign w:val="center"/>
          </w:tcPr>
          <w:p>
            <w:pPr>
              <w:pStyle w:val="ReportTableText"/>
            </w:pPr>
            <w:r>
              <w:t>VH-01 project</w:t>
            </w:r>
          </w:p>
        </w:tc>
        <w:tc>
          <w:tcPr>
            <w:tcW w:type="dxa" w:w="3100"/>
            <w:vAlign w:val="center"/>
          </w:tcPr>
          <w:p>
            <w:pPr>
              <w:pStyle w:val="ReportTableText"/>
            </w:pPr>
            <w:r>
              <w:t>Pass for UI test</w:t>
            </w:r>
          </w:p>
        </w:tc>
        <w:tc>
          <w:tcPr>
            <w:tcW w:type="dxa" w:w="4160"/>
            <w:vAlign w:val="center"/>
          </w:tcPr>
          <w:p>
            <w:pPr>
              <w:pStyle w:val="ReportTableText"/>
            </w:pPr>
            <w:r>
              <w:t>Exact Shadow Root project/root observed; no Git deployment triggered</w:t>
            </w:r>
          </w:p>
        </w:tc>
      </w:tr>
      <w:tr>
        <w:trPr>
          <w:cantSplit/>
        </w:trPr>
        <w:tc>
          <w:tcPr>
            <w:tcW w:type="dxa" w:w="2100"/>
            <w:vAlign w:val="center"/>
          </w:tcPr>
          <w:p>
            <w:pPr>
              <w:pStyle w:val="ReportTableText"/>
            </w:pPr>
            <w:r>
              <w:t>VH-02 deployment</w:t>
            </w:r>
          </w:p>
        </w:tc>
        <w:tc>
          <w:tcPr>
            <w:tcW w:type="dxa" w:w="3100"/>
            <w:vAlign w:val="center"/>
          </w:tcPr>
          <w:p>
            <w:pPr>
              <w:pStyle w:val="ReportTableText"/>
            </w:pPr>
            <w:r>
              <w:t>Pass for UI test</w:t>
            </w:r>
          </w:p>
        </w:tc>
        <w:tc>
          <w:tcPr>
            <w:tcW w:type="dxa" w:w="4160"/>
            <w:vAlign w:val="center"/>
          </w:tcPr>
          <w:p>
            <w:pPr>
              <w:pStyle w:val="ReportTableText"/>
            </w:pPr>
            <w:r>
              <w:t>Exact READY source/deployment above; platform release not approved</w:t>
            </w:r>
          </w:p>
        </w:tc>
      </w:tr>
      <w:tr>
        <w:trPr>
          <w:cantSplit/>
        </w:trPr>
        <w:tc>
          <w:tcPr>
            <w:tcW w:type="dxa" w:w="2100"/>
            <w:vAlign w:val="center"/>
          </w:tcPr>
          <w:p>
            <w:pPr>
              <w:pStyle w:val="ReportTableText"/>
            </w:pPr>
            <w:r>
              <w:t>VH-03 Preview</w:t>
            </w:r>
          </w:p>
        </w:tc>
        <w:tc>
          <w:tcPr>
            <w:tcW w:type="dxa" w:w="3100"/>
            <w:vAlign w:val="center"/>
          </w:tcPr>
          <w:p>
            <w:pPr>
              <w:pStyle w:val="ReportTableText"/>
            </w:pPr>
            <w:r>
              <w:t>Blocked</w:t>
            </w:r>
          </w:p>
        </w:tc>
        <w:tc>
          <w:tcPr>
            <w:tcW w:type="dxa" w:w="4160"/>
            <w:vAlign w:val="center"/>
          </w:tcPr>
          <w:p>
            <w:pPr>
              <w:pStyle w:val="ReportTableText"/>
            </w:pPr>
            <w:r>
              <w:t>Full-service Preview remains unresolved, Uchi/Mumba</w:t>
            </w:r>
          </w:p>
        </w:tc>
      </w:tr>
      <w:tr>
        <w:trPr>
          <w:cantSplit/>
        </w:trPr>
        <w:tc>
          <w:tcPr>
            <w:tcW w:type="dxa" w:w="2100"/>
            <w:vAlign w:val="center"/>
          </w:tcPr>
          <w:p>
            <w:pPr>
              <w:pStyle w:val="ReportTableText"/>
            </w:pPr>
            <w:r>
              <w:t>VH-04 environment</w:t>
            </w:r>
          </w:p>
        </w:tc>
        <w:tc>
          <w:tcPr>
            <w:tcW w:type="dxa" w:w="3100"/>
            <w:vAlign w:val="center"/>
          </w:tcPr>
          <w:p>
            <w:pPr>
              <w:pStyle w:val="ReportTableText"/>
            </w:pPr>
            <w:r>
              <w:t>Partial</w:t>
            </w:r>
          </w:p>
        </w:tc>
        <w:tc>
          <w:tcPr>
            <w:tcW w:type="dxa" w:w="4160"/>
            <w:vAlign w:val="center"/>
          </w:tcPr>
          <w:p>
            <w:pPr>
              <w:pStyle w:val="ReportTableText"/>
            </w:pPr>
            <w:r>
              <w:t>Restricted UI-only guard passes; genuine service setup pending, Uchi/Mumba</w:t>
            </w:r>
          </w:p>
        </w:tc>
      </w:tr>
      <w:tr>
        <w:trPr>
          <w:cantSplit/>
        </w:trPr>
        <w:tc>
          <w:tcPr>
            <w:tcW w:type="dxa" w:w="2100"/>
            <w:vAlign w:val="center"/>
          </w:tcPr>
          <w:p>
            <w:pPr>
              <w:pStyle w:val="ReportTableText"/>
            </w:pPr>
            <w:r>
              <w:t>VH-05 client secrets</w:t>
            </w:r>
          </w:p>
        </w:tc>
        <w:tc>
          <w:tcPr>
            <w:tcW w:type="dxa" w:w="3100"/>
            <w:vAlign w:val="center"/>
          </w:tcPr>
          <w:p>
            <w:pPr>
              <w:pStyle w:val="ReportTableText"/>
            </w:pPr>
            <w:r>
              <w:t>Pending</w:t>
            </w:r>
          </w:p>
        </w:tc>
        <w:tc>
          <w:tcPr>
            <w:tcW w:type="dxa" w:w="4160"/>
            <w:vAlign w:val="center"/>
          </w:tcPr>
          <w:p>
            <w:pPr>
              <w:pStyle w:val="ReportTableText"/>
            </w:pPr>
            <w:r>
              <w:t>63 local files clean; deployed bundle review outstanding, Uchi</w:t>
            </w:r>
          </w:p>
        </w:tc>
      </w:tr>
      <w:tr>
        <w:trPr>
          <w:cantSplit/>
        </w:trPr>
        <w:tc>
          <w:tcPr>
            <w:tcW w:type="dxa" w:w="2100"/>
            <w:vAlign w:val="center"/>
          </w:tcPr>
          <w:p>
            <w:pPr>
              <w:pStyle w:val="ReportTableText"/>
            </w:pPr>
            <w:r>
              <w:t>VH-06 database</w:t>
            </w:r>
          </w:p>
        </w:tc>
        <w:tc>
          <w:tcPr>
            <w:tcW w:type="dxa" w:w="3100"/>
            <w:vAlign w:val="center"/>
          </w:tcPr>
          <w:p>
            <w:pPr>
              <w:pStyle w:val="ReportTableText"/>
            </w:pPr>
            <w:r>
              <w:t>Blocked</w:t>
            </w:r>
          </w:p>
        </w:tc>
        <w:tc>
          <w:tcPr>
            <w:tcW w:type="dxa" w:w="4160"/>
            <w:vAlign w:val="center"/>
          </w:tcPr>
          <w:p>
            <w:pPr>
              <w:pStyle w:val="ReportTableText"/>
            </w:pPr>
            <w:r>
              <w:t>UI-only target deliberately unbound; genuine app connection pending, Mumba</w:t>
            </w:r>
          </w:p>
        </w:tc>
      </w:tr>
      <w:tr>
        <w:trPr>
          <w:cantSplit/>
        </w:trPr>
        <w:tc>
          <w:tcPr>
            <w:tcW w:type="dxa" w:w="2100"/>
            <w:vAlign w:val="center"/>
          </w:tcPr>
          <w:p>
            <w:pPr>
              <w:pStyle w:val="ReportTableText"/>
            </w:pPr>
            <w:r>
              <w:t>VH-07 storage</w:t>
            </w:r>
          </w:p>
        </w:tc>
        <w:tc>
          <w:tcPr>
            <w:tcW w:type="dxa" w:w="3100"/>
            <w:vAlign w:val="center"/>
          </w:tcPr>
          <w:p>
            <w:pPr>
              <w:pStyle w:val="ReportTableText"/>
            </w:pPr>
            <w:r>
              <w:t>Blocked</w:t>
            </w:r>
          </w:p>
        </w:tc>
        <w:tc>
          <w:tcPr>
            <w:tcW w:type="dxa" w:w="4160"/>
            <w:vAlign w:val="center"/>
          </w:tcPr>
          <w:p>
            <w:pPr>
              <w:pStyle w:val="ReportTableText"/>
            </w:pPr>
            <w:r>
              <w:t>Private server upload/quarantine/scanning unbuilt; local picker acceptance also pending, Uchi/Mumba</w:t>
            </w:r>
          </w:p>
        </w:tc>
      </w:tr>
      <w:tr>
        <w:trPr>
          <w:cantSplit/>
        </w:trPr>
        <w:tc>
          <w:tcPr>
            <w:tcW w:type="dxa" w:w="2100"/>
            <w:vAlign w:val="center"/>
          </w:tcPr>
          <w:p>
            <w:pPr>
              <w:pStyle w:val="ReportTableText"/>
            </w:pPr>
            <w:r>
              <w:t>VH-08 Auth</w:t>
            </w:r>
          </w:p>
        </w:tc>
        <w:tc>
          <w:tcPr>
            <w:tcW w:type="dxa" w:w="3100"/>
            <w:vAlign w:val="center"/>
          </w:tcPr>
          <w:p>
            <w:pPr>
              <w:pStyle w:val="ReportTableText"/>
            </w:pPr>
            <w:r>
              <w:t>Blocked</w:t>
            </w:r>
          </w:p>
        </w:tc>
        <w:tc>
          <w:tcPr>
            <w:tcW w:type="dxa" w:w="4160"/>
            <w:vAlign w:val="center"/>
          </w:tcPr>
          <w:p>
            <w:pPr>
              <w:pStyle w:val="ReportTableText"/>
            </w:pPr>
            <w:r>
              <w:t>Login disabled; genuine hosted MFA/Auth acceptance open, Uchi/Mumba</w:t>
            </w:r>
          </w:p>
        </w:tc>
      </w:tr>
      <w:tr>
        <w:trPr>
          <w:cantSplit/>
        </w:trPr>
        <w:tc>
          <w:tcPr>
            <w:tcW w:type="dxa" w:w="2100"/>
            <w:vAlign w:val="center"/>
          </w:tcPr>
          <w:p>
            <w:pPr>
              <w:pStyle w:val="ReportTableText"/>
            </w:pPr>
            <w:r>
              <w:t>VH-09 dashboards</w:t>
            </w:r>
          </w:p>
        </w:tc>
        <w:tc>
          <w:tcPr>
            <w:tcW w:type="dxa" w:w="3100"/>
            <w:vAlign w:val="center"/>
          </w:tcPr>
          <w:p>
            <w:pPr>
              <w:pStyle w:val="ReportTableText"/>
            </w:pPr>
            <w:r>
              <w:t>Blocked</w:t>
            </w:r>
          </w:p>
        </w:tc>
        <w:tc>
          <w:tcPr>
            <w:tcW w:type="dxa" w:w="4160"/>
            <w:vAlign w:val="center"/>
          </w:tcPr>
          <w:p>
            <w:pPr>
              <w:pStyle w:val="ReportTableText"/>
            </w:pPr>
            <w:r>
              <w:t>Real customer/vendor/admin operations incomplete, Uchi/Mumba</w:t>
            </w:r>
          </w:p>
        </w:tc>
      </w:tr>
      <w:tr>
        <w:trPr>
          <w:cantSplit/>
        </w:trPr>
        <w:tc>
          <w:tcPr>
            <w:tcW w:type="dxa" w:w="2100"/>
            <w:vAlign w:val="center"/>
          </w:tcPr>
          <w:p>
            <w:pPr>
              <w:pStyle w:val="ReportTableText"/>
            </w:pPr>
            <w:r>
              <w:t>VH-10 APIs</w:t>
            </w:r>
          </w:p>
        </w:tc>
        <w:tc>
          <w:tcPr>
            <w:tcW w:type="dxa" w:w="3100"/>
            <w:vAlign w:val="center"/>
          </w:tcPr>
          <w:p>
            <w:pPr>
              <w:pStyle w:val="ReportTableText"/>
            </w:pPr>
            <w:r>
              <w:t>Pending</w:t>
            </w:r>
          </w:p>
        </w:tc>
        <w:tc>
          <w:tcPr>
            <w:tcW w:type="dxa" w:w="4160"/>
            <w:vAlign w:val="center"/>
          </w:tcPr>
          <w:p>
            <w:pPr>
              <w:pStyle w:val="ReportTableText"/>
            </w:pPr>
            <w:r>
              <w:t>No API changes; genuine deployed business success unverified, Mumba</w:t>
            </w:r>
          </w:p>
        </w:tc>
      </w:tr>
      <w:tr>
        <w:trPr>
          <w:cantSplit/>
        </w:trPr>
        <w:tc>
          <w:tcPr>
            <w:tcW w:type="dxa" w:w="2100"/>
            <w:vAlign w:val="center"/>
          </w:tcPr>
          <w:p>
            <w:pPr>
              <w:pStyle w:val="ReportTableText"/>
            </w:pPr>
            <w:r>
              <w:t>VH-11 authorization</w:t>
            </w:r>
          </w:p>
        </w:tc>
        <w:tc>
          <w:tcPr>
            <w:tcW w:type="dxa" w:w="3100"/>
            <w:vAlign w:val="center"/>
          </w:tcPr>
          <w:p>
            <w:pPr>
              <w:pStyle w:val="ReportTableText"/>
            </w:pPr>
            <w:r>
              <w:t>Pending</w:t>
            </w:r>
          </w:p>
        </w:tc>
        <w:tc>
          <w:tcPr>
            <w:tcW w:type="dxa" w:w="4160"/>
            <w:vAlign w:val="center"/>
          </w:tcPr>
          <w:p>
            <w:pPr>
              <w:pStyle w:val="ReportTableText"/>
            </w:pPr>
            <w:r>
              <w:t>No privilege changes; current hosted role/tenant denials unverified, Uchi</w:t>
            </w:r>
          </w:p>
        </w:tc>
      </w:tr>
      <w:tr>
        <w:trPr>
          <w:cantSplit/>
        </w:trPr>
        <w:tc>
          <w:tcPr>
            <w:tcW w:type="dxa" w:w="2100"/>
            <w:vAlign w:val="center"/>
          </w:tcPr>
          <w:p>
            <w:pPr>
              <w:pStyle w:val="ReportTableText"/>
            </w:pPr>
            <w:r>
              <w:t>VH-12 pages</w:t>
            </w:r>
          </w:p>
        </w:tc>
        <w:tc>
          <w:tcPr>
            <w:tcW w:type="dxa" w:w="3100"/>
            <w:vAlign w:val="center"/>
          </w:tcPr>
          <w:p>
            <w:pPr>
              <w:pStyle w:val="ReportTableText"/>
            </w:pPr>
            <w:r>
              <w:t>Blocked for current source</w:t>
            </w:r>
          </w:p>
        </w:tc>
        <w:tc>
          <w:tcPr>
            <w:tcW w:type="dxa" w:w="4160"/>
            <w:vAlign w:val="center"/>
          </w:tcPr>
          <w:p>
            <w:pPr>
              <w:pStyle w:val="ReportTableText"/>
            </w:pPr>
            <w:r>
              <w:t>Browser connection failed; READY is not page acceptance, Taizya/Uchi</w:t>
            </w:r>
          </w:p>
        </w:tc>
      </w:tr>
      <w:tr>
        <w:trPr>
          <w:cantSplit/>
        </w:trPr>
        <w:tc>
          <w:tcPr>
            <w:tcW w:type="dxa" w:w="2100"/>
            <w:vAlign w:val="center"/>
          </w:tcPr>
          <w:p>
            <w:pPr>
              <w:pStyle w:val="ReportTableText"/>
            </w:pPr>
            <w:r>
              <w:t>VH-13 mobile</w:t>
            </w:r>
          </w:p>
        </w:tc>
        <w:tc>
          <w:tcPr>
            <w:tcW w:type="dxa" w:w="3100"/>
            <w:vAlign w:val="center"/>
          </w:tcPr>
          <w:p>
            <w:pPr>
              <w:pStyle w:val="ReportTableText"/>
            </w:pPr>
            <w:r>
              <w:t>Pending</w:t>
            </w:r>
          </w:p>
        </w:tc>
        <w:tc>
          <w:tcPr>
            <w:tcW w:type="dxa" w:w="4160"/>
            <w:vAlign w:val="center"/>
          </w:tcPr>
          <w:p>
            <w:pPr>
              <w:pStyle w:val="ReportTableText"/>
            </w:pPr>
            <w:r>
              <w:t>No current-source mobile visual acceptance, Taizya</w:t>
            </w:r>
          </w:p>
        </w:tc>
      </w:tr>
      <w:tr>
        <w:trPr>
          <w:cantSplit/>
        </w:trPr>
        <w:tc>
          <w:tcPr>
            <w:tcW w:type="dxa" w:w="2100"/>
            <w:vAlign w:val="center"/>
          </w:tcPr>
          <w:p>
            <w:pPr>
              <w:pStyle w:val="ReportTableText"/>
            </w:pPr>
            <w:r>
              <w:t>VH-14 console</w:t>
            </w:r>
          </w:p>
        </w:tc>
        <w:tc>
          <w:tcPr>
            <w:tcW w:type="dxa" w:w="3100"/>
            <w:vAlign w:val="center"/>
          </w:tcPr>
          <w:p>
            <w:pPr>
              <w:pStyle w:val="ReportTableText"/>
            </w:pPr>
            <w:r>
              <w:t>Pending</w:t>
            </w:r>
          </w:p>
        </w:tc>
        <w:tc>
          <w:tcPr>
            <w:tcW w:type="dxa" w:w="4160"/>
            <w:vAlign w:val="center"/>
          </w:tcPr>
          <w:p>
            <w:pPr>
              <w:pStyle w:val="ReportTableText"/>
            </w:pPr>
            <w:r>
              <w:t>Current hosted application logs not inspected in browser, Uchi</w:t>
            </w:r>
          </w:p>
        </w:tc>
      </w:tr>
      <w:tr>
        <w:trPr>
          <w:cantSplit/>
        </w:trPr>
        <w:tc>
          <w:tcPr>
            <w:tcW w:type="dxa" w:w="2100"/>
            <w:vAlign w:val="center"/>
          </w:tcPr>
          <w:p>
            <w:pPr>
              <w:pStyle w:val="ReportTableText"/>
            </w:pPr>
            <w:r>
              <w:t>VH-15 build logs</w:t>
            </w:r>
          </w:p>
        </w:tc>
        <w:tc>
          <w:tcPr>
            <w:tcW w:type="dxa" w:w="3100"/>
            <w:vAlign w:val="center"/>
          </w:tcPr>
          <w:p>
            <w:pPr>
              <w:pStyle w:val="ReportTableText"/>
            </w:pPr>
            <w:r>
              <w:t>Pass for UI test</w:t>
            </w:r>
          </w:p>
        </w:tc>
        <w:tc>
          <w:tcPr>
            <w:tcW w:type="dxa" w:w="4160"/>
            <w:vAlign w:val="center"/>
          </w:tcPr>
          <w:p>
            <w:pPr>
              <w:pStyle w:val="ReportTableText"/>
            </w:pPr>
            <w:r>
              <w:t>Successful build and documented cache-dir warning</w:t>
            </w:r>
          </w:p>
        </w:tc>
      </w:tr>
      <w:tr>
        <w:trPr>
          <w:cantSplit/>
        </w:trPr>
        <w:tc>
          <w:tcPr>
            <w:tcW w:type="dxa" w:w="2100"/>
            <w:vAlign w:val="center"/>
          </w:tcPr>
          <w:p>
            <w:pPr>
              <w:pStyle w:val="ReportTableText"/>
            </w:pPr>
            <w:r>
              <w:t>VH-16 domain</w:t>
            </w:r>
          </w:p>
        </w:tc>
        <w:tc>
          <w:tcPr>
            <w:tcW w:type="dxa" w:w="3100"/>
            <w:vAlign w:val="center"/>
          </w:tcPr>
          <w:p>
            <w:pPr>
              <w:pStyle w:val="ReportTableText"/>
            </w:pPr>
            <w:r>
              <w:t>Documented</w:t>
            </w:r>
          </w:p>
        </w:tc>
        <w:tc>
          <w:tcPr>
            <w:tcW w:type="dxa" w:w="4160"/>
            <w:vAlign w:val="center"/>
          </w:tcPr>
          <w:p>
            <w:pPr>
              <w:pStyle w:val="ReportTableText"/>
            </w:pPr>
            <w:r>
              <w:t>User will buy a domain later; no DNS/domain changes</w:t>
            </w:r>
          </w:p>
        </w:tc>
      </w:tr>
      <w:tr>
        <w:trPr>
          <w:cantSplit/>
        </w:trPr>
        <w:tc>
          <w:tcPr>
            <w:tcW w:type="dxa" w:w="2100"/>
            <w:vAlign w:val="center"/>
          </w:tcPr>
          <w:p>
            <w:pPr>
              <w:pStyle w:val="ReportTableText"/>
            </w:pPr>
            <w:r>
              <w:t>VH-17 URL</w:t>
            </w:r>
          </w:p>
        </w:tc>
        <w:tc>
          <w:tcPr>
            <w:tcW w:type="dxa" w:w="3100"/>
            <w:vAlign w:val="center"/>
          </w:tcPr>
          <w:p>
            <w:pPr>
              <w:pStyle w:val="ReportTableText"/>
            </w:pPr>
            <w:r>
              <w:t>Pass</w:t>
            </w:r>
          </w:p>
        </w:tc>
        <w:tc>
          <w:tcPr>
            <w:tcW w:type="dxa" w:w="4160"/>
            <w:vAlign w:val="center"/>
          </w:tcPr>
          <w:p>
            <w:pPr>
              <w:pStyle w:val="ReportTableText"/>
            </w:pPr>
            <w:r>
              <w:t>Actual protected build URL supplied; browser verification clearly pending</w:t>
            </w:r>
          </w:p>
        </w:tc>
      </w:tr>
    </w:tbl>
    <w:p>
      <w:pPr>
        <w:spacing w:after="80"/>
      </w:pPr>
    </w:p>
    <w:p>
      <w:pPr>
        <w:pStyle w:val="Heading1"/>
      </w:pPr>
      <w:r>
        <w:t>Team actions, limits and rollback</w:t>
      </w:r>
    </w:p>
    <w:p>
      <w:pPr>
        <w:pStyle w:val="ReportList"/>
        <w:numPr>
          <w:ilvl w:val="0"/>
          <w:numId w:val="80"/>
        </w:numPr>
      </w:pPr>
      <w:r>
        <w:t>Uchi: review the fix and reconnect the Shadow browser/extension for current hosted acceptance. Retain disabled service boundaries and coordinate Phase 1.</w:t>
      </w:r>
    </w:p>
    <w:p>
      <w:pPr>
        <w:pStyle w:val="ReportList"/>
        <w:numPr>
          <w:ilvl w:val="0"/>
          <w:numId w:val="80"/>
        </w:numPr>
      </w:pPr>
      <w:r>
        <w:t>Mumba: continue genuine isolated Auth and private-file/order/pricing/proof contracts, scanner/audit/denial enforcement and compatible MFA-hook hosting.</w:t>
      </w:r>
    </w:p>
    <w:p>
      <w:pPr>
        <w:pStyle w:val="ReportList"/>
        <w:numPr>
          <w:ilvl w:val="0"/>
          <w:numId w:val="80"/>
        </w:numPr>
      </w:pPr>
      <w:r>
        <w:t>Taizya: verify real file import, reopen, cancel, history, download and route-exit cases on mobile/desktop; complete keyboard, screen-reader, 200% zoom and motion QA.</w:t>
      </w:r>
    </w:p>
    <w:p>
      <w:pPr>
        <w:pStyle w:val="ReportList"/>
        <w:numPr>
          <w:ilvl w:val="0"/>
          <w:numId w:val="80"/>
        </w:numPr>
      </w:pPr>
      <w:r>
        <w:t>Lubasi: obtain actual supplier SKU/stock/price/measurement/licence evidence and vendor preflight policy; help settle FILE-01/FILE-02 retention/scan requirements.</w:t>
      </w:r>
    </w:p>
    <w:p>
      <w:r>
        <w:t>Real supplier-matched production models, server pricing/cart/orders, private storage/scanning, vendor-issued proofs/approval/audit, operational dashboards and production/delivery remain unbuilt or unaccepted. Phase 1 is incomplete. No new API or commercial mock integration is represented as finished. Human signoff, Lighthouse and broad runtime/browser acceptance remain absent.</w:t>
      </w:r>
    </w:p>
    <w:p>
      <w:r>
        <w:t xml:space="preserve">Rollback by reverting source </w:t>
      </w:r>
      <w:r>
        <w:rPr>
          <w:rFonts w:ascii="Consolas" w:hAnsi="Consolas"/>
          <w:sz w:val="20"/>
        </w:rPr>
        <w:t>9edd01242b440c049bde9bc323aa8b352977338c</w:t>
      </w:r>
      <w:r>
        <w:t xml:space="preserve"> on a review branch and validating, or redeploying prior verified UI-only source </w:t>
      </w:r>
      <w:r>
        <w:rPr>
          <w:rFonts w:ascii="Consolas" w:hAnsi="Consolas"/>
          <w:sz w:val="20"/>
        </w:rPr>
        <w:t>7471bfe9d9c710ed0bdd5ea8e68cd891063a986e</w:t>
      </w:r>
      <w:r>
        <w:t xml:space="preserve"> to the same isolated project using the [UI test guide](../vercel-ui-test.md). Do not force-push, change disabled flags or push through the original project's automatic production integration. No database rollback is needed. Source and handover are local review commits; no push, phase completion or human approval is claimed.</w:t>
      </w:r>
    </w:p>
    <w:p>
      <w:r>
        <w:t>Matching Word output passes generator structure checks. Seven changed Markdown files and 244 local links pass validation; Word ZIP/XML, real numbering, privacy and both tables (including all seventeen gates) pass. Visual rendering was attempted and failed with WinError 2 because LibreOffice is unavailable; no Word visual acceptance is claimed. Report delivery is not readiness.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jc w:val="right"/>
    </w:pPr>
    <w:r>
      <w:t xml:space="preserve">Internal working report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pPr>
    <w:r>
      <w:t>Virtual Ink | Shadow Root Security Technologies | Team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0">
    <w:multiLevelType w:val="singleLevel"/>
    <w:lvl w:ilvl="0">
      <w:start w:val="1"/>
      <w:numFmt w:val="bullet"/>
      <w:lvlText w:val="•"/>
      <w:lvlJc w:val="left"/>
      <w:pPr>
        <w:tabs>
          <w:tab w:val="num" w:pos="540"/>
        </w:tabs>
        <w:ind w:left="540" w:hanging="270"/>
      </w:pPr>
    </w:lvl>
  </w:abstractNum>
  <w:num w:numId="80">
    <w:abstractNumId w:val="80"/>
  </w:num>
  <w:abstractNum w:abstractNumId="81">
    <w:multiLevelType w:val="singleLevel"/>
    <w:lvl w:ilvl="0">
      <w:start w:val="1"/>
      <w:numFmt w:val="decimal"/>
      <w:lvlText w:val="%1."/>
      <w:lvlJc w:val="left"/>
      <w:pPr>
        <w:tabs>
          <w:tab w:val="num" w:pos="540"/>
        </w:tabs>
        <w:ind w:left="540" w:hanging="270"/>
      </w:pPr>
    </w:lvl>
  </w:abstractNum>
  <w:num w:numId="81">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60" w:line="276" w:lineRule="auto" w:before="0"/>
      <w:contextualSpacing/>
    </w:pPr>
    <w:rPr>
      <w:rFonts w:asciiTheme="majorHAnsi" w:eastAsiaTheme="majorEastAsia" w:hAnsiTheme="majorHAnsi" w:cstheme="majorBidi" w:ascii="Calibri" w:hAnsi="Calibri"/>
      <w:b/>
      <w:color w:val="0B0F1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40" w:line="300" w:lineRule="auto"/>
    </w:pPr>
    <w:rPr>
      <w:rFonts w:asciiTheme="majorHAnsi" w:eastAsiaTheme="majorEastAsia" w:hAnsiTheme="majorHAnsi" w:cstheme="majorBidi" w:ascii="Calibri" w:hAnsi="Calibri"/>
      <w:b w:val="0"/>
      <w:i/>
      <w:iCs/>
      <w:color w:val="64748B"/>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List">
    <w:name w:val="ReportList"/>
    <w:pPr>
      <w:widowControl/>
      <w:spacing w:before="0" w:after="80" w:line="300" w:lineRule="auto"/>
    </w:pPr>
    <w:rPr>
      <w:rFonts w:ascii="Calibri" w:hAnsi="Calibri"/>
      <w:b w:val="0"/>
      <w:color w:val="111827"/>
      <w:sz w:val="22"/>
    </w:rPr>
  </w:style>
  <w:style w:type="paragraph" w:customStyle="1" w:styleId="ReportTableText">
    <w:name w:val="ReportTableText"/>
    <w:pPr>
      <w:widowControl/>
      <w:spacing w:before="0" w:after="60" w:line="276" w:lineRule="auto"/>
    </w:pPr>
    <w:rPr>
      <w:rFonts w:ascii="Calibri" w:hAnsi="Calibri"/>
      <w:b w:val="0"/>
      <w:color w:val="111827"/>
      <w:sz w:val="19"/>
    </w:rPr>
  </w:style>
  <w:style w:type="paragraph" w:customStyle="1" w:styleId="ReportCode">
    <w:name w:val="ReportCode"/>
    <w:pPr>
      <w:widowControl/>
      <w:spacing w:before="0" w:after="160" w:line="264" w:lineRule="auto"/>
    </w:pPr>
    <w:rPr>
      <w:rFonts w:ascii="Consolas" w:hAnsi="Consolas"/>
      <w:b w:val="0"/>
      <w:color w:val="173B5E"/>
      <w:sz w:val="18"/>
    </w:rPr>
  </w:style>
  <w:style w:type="paragraph" w:customStyle="1" w:styleId="ReportMetadata">
    <w:name w:val="ReportMetadata"/>
    <w:pPr>
      <w:widowControl/>
      <w:spacing w:before="0" w:after="60" w:line="264" w:lineRule="auto"/>
    </w:pPr>
    <w:rPr>
      <w:rFonts w:ascii="Calibri" w:hAnsi="Calibri"/>
      <w:b w:val="0"/>
      <w:color w:val="64748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Virtual Ink Team Progress Report</dc:title>
  <dc:subject/>
  <dc:creator>Shadow Root Security Technologies</dc:creator>
  <cp:keywords/>
  <dc:description>generated by python-docx</dc:description>
  <cp:lastModifiedBy/>
  <cp:revision>1</cp:revision>
  <dcterms:created xsi:type="dcterms:W3CDTF">2013-12-23T23:15:00Z</dcterms:created>
  <dcterms:modified xsi:type="dcterms:W3CDTF">2013-12-23T23:15:00Z</dcterms:modified>
  <cp:category/>
</cp:coreProperties>
</file>