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Virtual Ink — MFA and privileged-role inspection</w:t>
      </w:r>
    </w:p>
    <w:p>
      <w:r>
        <w:t>Date: 16 October 2026. Status: PARTIAL. Inspection before implementation. Scope: MFA, privileged authorization, audit and restricted administration only.</w:t>
      </w:r>
    </w:p>
    <w:tbl>
      <w:tblPr>
        <w:tblLayout w:type="fixed"/>
        <w:tblLook w:firstColumn="1" w:firstRow="1" w:lastColumn="0" w:lastRow="0" w:noHBand="0" w:noVBand="1" w:val="04A0"/>
        <w:tblW w:w="9360" w:type="dxa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0D8E2"/>
          <w:left w:val="single" w:sz="4" w:color="D0D8E2"/>
          <w:bottom w:val="single" w:sz="4" w:color="D0D8E2"/>
          <w:right w:val="single" w:sz="4" w:color="D0D8E2"/>
          <w:insideH w:val="single" w:sz="4" w:color="D0D8E2"/>
          <w:insideV w:val="single" w:sz="4" w:color="D0D8E2"/>
        </w:tblBorders>
      </w:tblPr>
      <w:tblGrid>
        <w:gridCol w:w="3300"/>
        <w:gridCol w:w="6060"/>
      </w:tblGrid>
      <w:tr>
        <w:trPr>
          <w:cantSplit/>
          <w:tblHeader/>
        </w:trPr>
        <w:tc>
          <w:tcPr>
            <w:tcW w:type="dxa" w:w="330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Surface</w:t>
            </w:r>
          </w:p>
        </w:tc>
        <w:tc>
          <w:tcPr>
            <w:tcW w:type="dxa" w:w="6060"/>
            <w:vAlign w:val="center"/>
            <w:shd w:val="clear" w:fill="E8EEF5"/>
          </w:tcPr>
          <w:p>
            <w:pPr>
              <w:pStyle w:val="ReportTableText"/>
            </w:pPr>
            <w:r>
              <w:rPr>
                <w:b/>
              </w:rPr>
              <w:t>Inspected result / gap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Provider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Supabase Auth; pinned supabase-js 2.117.3 and SSR 0.12.7 in Next.js. Server cookie login, callback, recovery and logout exist; genuine deployed Auth remains unverified.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MFA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No enrollment/challenge/verify/factor-management UI or endpoint. Internal step-up.ts verifies Auth before claims and reads current session/account/factor/AMR facts, but has no runtime caller or credentials. No mfaEnabled/mfa_enabled authorization flag was found in application source. Synthetic AAL2 fixtures and pure policy inputs are not genuine MFA.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Role storage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Legacy virtual_ink.user_roles plus identity/tenant membership tables; private Phase 1 role_assignments and append-only role_assignment_audits in one unapplied migration. One active assignment per user; eight roles including ADMIN and SUPER_ADMIN. Specialist privileges need an explicit scoped representation, not duplicate aliases.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Browser/API/server actions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No client role-table mutation, role-changing HTTP endpoint or role-changing server action found. Registration rejects extra role fields. Existing account/API reads use legacy roles.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Private write paths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src/backend/provisioning/service.ts and vendor onboarding SQL create only Customer legacy roles under restricted policies and required provisioning audits. No privileged promotion command exists.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Database write paths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Existing assignment migration permits audited owner writes only; runtime/client roles lack new schema/write rights. SQL fixtures and migration administrators can seed assignments. Existing private provisioner/vendor INSERT policies constrain legacy roles to Customer.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Provider bridge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database/vendor-onboarding/supabase-bridge.sql is an unapplied vendor adapter, not an enabled MFA journey. Its server-derived freshness boolean is not evidence of genuine provider testing; new security work must use the stricter current session/AMR boundary.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Missing lifecycle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Trusted privileged writer, approval/execution separation, expiry, last-super-admin guard, fresh role reads, prompt session invalidation and full success/failure audit records.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Missing MFA controls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Genuine TOTP journey, durable limits/replay controls/events, recent reauthentication, audited logout/factor actions, controlled recovery and suspicious-change alerts.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Missing interface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Restricted role-management screen with reason, step-up, explicit confirmation, result and audit reference.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Hosted inspection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Only one active Virtual Ink project and no development branches are visible. Existing schema has ten migrations; the role foundation is not hosted. No approved isolated Preview target or genuine synthetic accounts are established. No real Auth rows/secrets were queried.</w:t>
            </w:r>
          </w:p>
        </w:tc>
      </w:tr>
      <w:tr>
        <w:trPr>
          <w:cantSplit/>
        </w:trPr>
        <w:tc>
          <w:tcPr>
            <w:tcW w:type="dxa" w:w="3300"/>
            <w:vAlign w:val="center"/>
          </w:tcPr>
          <w:p>
            <w:pPr>
              <w:pStyle w:val="ReportTableText"/>
            </w:pPr>
            <w:r>
              <w:t>Release gate</w:t>
            </w:r>
          </w:p>
        </w:tc>
        <w:tc>
          <w:tcPr>
            <w:tcW w:type="dxa" w:w="6060"/>
            <w:vAlign w:val="center"/>
          </w:tcPr>
          <w:p>
            <w:pPr>
              <w:pStyle w:val="ReportTableText"/>
            </w:pPr>
            <w:r>
              <w:t>Existing Node 24.x HIGH security announcement schedules fixes for 21 October. Sensitive enablement/completion remains blocked until patch review and retesting.</w:t>
            </w:r>
          </w:p>
        </w:tc>
      </w:tr>
    </w:tbl>
    <w:p>
      <w:pPr>
        <w:spacing w:after="80"/>
      </w:pPr>
    </w:p>
    <w:p>
      <w:r>
        <w:t>Implementation will use a review branch and default-deny runtime configuration. No production role/Auth mutation, credentials, user assets or unrelated features will be introduced. The existing apps/web/next-env.d.ts user edit is preserved. Hosted work depends on confirmed isolated non-production resources; the user was asked for that target and approved synthetic identities without requesting secrets in chat. Genuine acceptance cannot be replaced by SDK mocks or local SQL fixtures.</w:t>
      </w:r>
    </w:p>
    <w:p>
      <w:r>
        <w:t>Next: genuine provider API adapters and TOTP UI; durable security events/limits; server-only restricted role commands and DB enforcement; negative local tests; then authorized isolated Preview verification. This report records gaps, not completion or human approval.</w:t>
      </w:r>
    </w:p>
    <w:p>
      <w:r>
        <w:t>Primary references reviewed: [Supabase MFA](https://supabase.com/docs/guides/auth/auth-mfa/totp), [provider rate limits](https://supabase.com/docs/guides/auth/rate-limits), [session validity](https://supabase.com/docs/guides/auth/sessions), [changelog](https://supabase.com/changelog), [Node security announcement](https://nodejs.org/en/blog/vulnerability/october-2026-security-releases).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  <w:jc w:val="right"/>
    </w:pPr>
    <w:r>
      <w:t xml:space="preserve">Internal working report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portMetadata"/>
    </w:pPr>
    <w:r>
      <w:t>Virtual Ink | Shadow Root Security Technologies | Team handover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80">
    <w:abstractNumId w:val="80"/>
  </w:num>
  <w:abstractNum w:abstractNumId="8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0F1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300" w:lineRule="auto"/>
    </w:pPr>
    <w:rPr>
      <w:rFonts w:asciiTheme="majorHAnsi" w:eastAsiaTheme="majorEastAsia" w:hAnsiTheme="majorHAnsi" w:cstheme="majorBidi" w:ascii="Calibri" w:hAnsi="Calibri"/>
      <w:b w:val="0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ist">
    <w:name w:val="ReportList"/>
    <w:pPr>
      <w:widowControl/>
      <w:spacing w:before="0" w:after="80" w:line="300" w:lineRule="auto"/>
    </w:pPr>
    <w:rPr>
      <w:rFonts w:ascii="Calibri" w:hAnsi="Calibri"/>
      <w:b w:val="0"/>
      <w:color w:val="111827"/>
      <w:sz w:val="22"/>
    </w:rPr>
  </w:style>
  <w:style w:type="paragraph" w:customStyle="1" w:styleId="ReportTableText">
    <w:name w:val="ReportTableText"/>
    <w:pPr>
      <w:widowControl/>
      <w:spacing w:before="0" w:after="60" w:line="276" w:lineRule="auto"/>
    </w:pPr>
    <w:rPr>
      <w:rFonts w:ascii="Calibri" w:hAnsi="Calibri"/>
      <w:b w:val="0"/>
      <w:color w:val="111827"/>
      <w:sz w:val="19"/>
    </w:rPr>
  </w:style>
  <w:style w:type="paragraph" w:customStyle="1" w:styleId="ReportCode">
    <w:name w:val="ReportCode"/>
    <w:pPr>
      <w:widowControl/>
      <w:spacing w:before="0" w:after="160" w:line="264" w:lineRule="auto"/>
    </w:pPr>
    <w:rPr>
      <w:rFonts w:ascii="Consolas" w:hAnsi="Consolas"/>
      <w:b w:val="0"/>
      <w:color w:val="173B5E"/>
      <w:sz w:val="18"/>
    </w:rPr>
  </w:style>
  <w:style w:type="paragraph" w:customStyle="1" w:styleId="ReportMetadata">
    <w:name w:val="ReportMetadata"/>
    <w:pPr>
      <w:widowControl/>
      <w:spacing w:before="0" w:after="60" w:line="264" w:lineRule="auto"/>
    </w:pPr>
    <w:rPr>
      <w:rFonts w:ascii="Calibri" w:hAnsi="Calibri"/>
      <w:b w:val="0"/>
      <w:color w:val="64748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Virtual Ink Team Progress Report</dc:title>
  <dc:subject/>
  <dc:creator>Shadow Root Security Technologies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