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MFA enrollment and Phase 1 release status</w:t>
      </w:r>
    </w:p>
    <w:p>
      <w:r>
        <w:t>22 October 2026. Virtual Ink / Shadow Root Security Technologies.</w:t>
      </w:r>
    </w:p>
    <w:p>
      <w:r>
        <w:rPr>
          <w:b/>
        </w:rPr>
        <w:t>Local review slice delivered; release remains NO-GO.</w:t>
      </w:r>
      <w:r>
        <w:t xml:space="preserve"> Uchi Chinyama and Mumba Chitonge own backend engineering, Taizya design, and Lubasi operational evidence. No phase completion, production change or human approval is inferred.</w:t>
      </w:r>
    </w:p>
    <w:p>
      <w:pPr>
        <w:pStyle w:val="Heading1"/>
      </w:pPr>
      <w:r>
        <w:t>Source, deployment and environments</w:t>
      </w:r>
    </w:p>
    <w:p>
      <w:r>
        <w:t xml:space="preserve">Implementation commit: </w:t>
      </w:r>
      <w:r>
        <w:rPr>
          <w:rFonts w:ascii="Consolas" w:hAnsi="Consolas"/>
          <w:sz w:val="20"/>
        </w:rPr>
        <w:t>f260c77df66a58ab90d4437c9d39a918ce2d2c79</w:t>
      </w:r>
      <w:r>
        <w:t xml:space="preserve">, branch </w:t>
      </w:r>
      <w:r>
        <w:rPr>
          <w:rFonts w:ascii="Consolas" w:hAnsi="Consolas"/>
          <w:sz w:val="20"/>
        </w:rPr>
        <w:t>codex/phase1-order-storage-runtime</w:t>
      </w:r>
      <w:r>
        <w:t xml:space="preserve">, parent </w:t>
      </w:r>
      <w:r>
        <w:rPr>
          <w:rFonts w:ascii="Consolas" w:hAnsi="Consolas"/>
          <w:sz w:val="20"/>
        </w:rPr>
        <w:t>3fe973a</w:t>
      </w:r>
      <w:r>
        <w:t xml:space="preserve"> (the preceding dashboard handover finalized after resumption). Eleven source/test/setup files were committed explicitly. The final reporting commit is identified in Git history and delivery. No Git push occurred because the safe development deployment mapping is still unresolved; this incomplete phase does not trigger push-after-phase completion. The user's next-env edit, extracted attachments, .agents and skills-lock.json remain preserved and excluded. Existing branding/assets/backend architecture are retained.</w:t>
      </w:r>
    </w:p>
    <w:p>
      <w:r>
        <w:t xml:space="preserve">The protected </w:t>
      </w:r>
      <w:r>
        <w:rPr>
          <w:b/>
        </w:rPr>
        <w:t>UI-only</w:t>
      </w:r>
      <w:r>
        <w:t xml:space="preserve"> Preview is READY: [open review deployment](https://virtual-ink-ui-test-brkmks7b1-shadowrootsec-5679.vercel.app). Project prj_aqLrX1gsSVb1XINH5YNGkp1aYazH; deployment </w:t>
      </w:r>
      <w:r>
        <w:rPr>
          <w:rFonts w:ascii="Consolas" w:hAnsi="Consolas"/>
          <w:sz w:val="20"/>
        </w:rPr>
        <w:t>dpl_E5XvBkULD86Qb3ryUNRUSiGNebpZ</w:t>
      </w:r>
      <w:r>
        <w:t xml:space="preserve">; exact implementation commit above. Request recorded </w:t>
      </w:r>
      <w:r>
        <w:rPr>
          <w:b/>
        </w:rPr>
        <w:t>2026-10-22 08:19:48 UTC / 10:19:48 CAT</w:t>
      </w:r>
      <w:r>
        <w:t xml:space="preserve">; READY/source/target verified </w:t>
      </w:r>
      <w:r>
        <w:rPr>
          <w:b/>
        </w:rPr>
        <w:t>08:22:04 UTC / 10:22:04 CAT</w:t>
      </w:r>
      <w:r>
        <w:t>. The reviewed Git snapshot uploaded 463 files, with private files, credentials, Word documents, generated types and user attachments excluded. Metadata confirms preview, non-Production target, fresh build, zero aliases/automatic aliases and no automation-bypass binding. Cold logs verify locked install, ui_test isolation on Node 24.22.1, lint, compilation and completed build. Protection is retained; no bypass token, domain change or Production bootstrap.</w:t>
      </w:r>
    </w:p>
    <w:p>
      <w:r>
        <w:t>This is not hosted Auth/MFA acceptance: Auth, security, database, workflows, storage, uploads and payments remain disabled. No accepted full-service staging URL exists; staging.virtualink.co.zm remains unconfigured/unverified. Production URL was not verified in this task, and production is unchanged. Development checks use disposable local Auth/PostgreSQL with synthetic accounts, separate from managed staging.</w:t>
      </w:r>
    </w:p>
    <w:p>
      <w:r>
        <w:t>Fresh 22 October read-only checks confirm managed staging trlhbsgxcsgvfyxezayb still has fourteen migrations, zero Auth users/buckets, no workflow schema and disabled security/native hook. Its organization is still Free. No hosted SQL, Auth, role, key, bucket, payment/email provider or billing mutation occurred. Local migrations remain sixteen; original Production remains ten. No new migration/RLS/Storage policy or grant is added by this slice.</w:t>
      </w:r>
    </w:p>
    <w:p>
      <w:pPr>
        <w:pStyle w:val="Heading1"/>
      </w:pPr>
      <w:r>
        <w:t>Delivered behavior and changed routes</w:t>
      </w:r>
    </w:p>
    <w:p>
      <w:r>
        <w:t>The existing authorized enrollment and replacement-enrollment responses now expose manualKey alongside their QR image/factor ID. This is the genuine provider TOTP key already encoded in that QR, not an application-generated secret or recovery code. Bounded Base32 validation rejects malformed/oversized keys. The otpauth URI is omitted. Existing native session, recent password, replacement MFA, reservation, rate-limit, result-audit, last-factor and reconciliation boundaries remain intact.</w:t>
      </w:r>
    </w:p>
    <w:p>
      <w:r>
        <w:t>The security panel provides a labelled read-only field, masked by default, with explicit show/hide controls. The QR and key clear on successful verification, confirmed discard, explicit hiding and an absolute five-minute display deadline. Rerendering does not extend the deadline; visibility changes recheck it after a suspended tab returns. Unmount disposes listeners/timers. This is best-effort UI cleanup, not secure erasure of JavaScript memory, developer-tool records or user copies, and it does not delete/revoke a provider factor. An unfinished factor remains listed for explicit audited discard. Existing authenticators survive replacement.</w:t>
      </w:r>
    </w:p>
    <w:p>
      <w:r>
        <w:t>No setup key enters command/audit inputs, cookies, URLs, browser storage, telemetry or reports. The enrollment response remains private/no-store. A failed required result audit returns no enrollment payload. Status/ordinary verification responses do not return the key. Security requests reject redirects, and malformed JSON or unexpected result shapes produce fixed feedback without diagnostic reflection or automatic retries of uncertain provider actions. [Setup contract](../mfa-manual-enrollment.md).</w:t>
      </w:r>
    </w:p>
    <w:p>
      <w:r>
        <w:t>Changed surfaces: /admin/security client panel and the response contract of existing /api/security/enroll and /api/security/replace-enroll, the server gateway and typed SecurityAuth adapter. No new public route, role grant, financial operation or worker credential is introduced. The provider QR uses image rendering, never raw SVG HTML.</w:t>
      </w:r>
    </w:p>
    <w:p>
      <w:pPr>
        <w:pStyle w:val="Heading1"/>
      </w:pPr>
      <w:r>
        <w:t>Verification and security evidence</w:t>
      </w:r>
    </w:p>
    <w:p>
      <w:r>
        <w:t>All final checks use reviewed Node 24.22.1 after root npm ci --include=dev:</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Scope</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 with coverage</w:t>
            </w:r>
          </w:p>
        </w:tc>
        <w:tc>
          <w:tcPr>
            <w:tcW w:type="dxa" w:w="6060"/>
            <w:vAlign w:val="center"/>
          </w:tcPr>
          <w:p>
            <w:pPr>
              <w:pStyle w:val="ReportTableText"/>
            </w:pPr>
            <w:r>
              <w:t>250 passed; 0 failed, 0 skipped</w:t>
            </w:r>
          </w:p>
        </w:tc>
      </w:tr>
      <w:tr>
        <w:trPr>
          <w:cantSplit/>
        </w:trPr>
        <w:tc>
          <w:tcPr>
            <w:tcW w:type="dxa" w:w="3300"/>
            <w:vAlign w:val="center"/>
          </w:tcPr>
          <w:p>
            <w:pPr>
              <w:pStyle w:val="ReportTableText"/>
            </w:pPr>
            <w:r>
              <w:t>Security selection</w:t>
            </w:r>
          </w:p>
        </w:tc>
        <w:tc>
          <w:tcPr>
            <w:tcW w:type="dxa" w:w="6060"/>
            <w:vAlign w:val="center"/>
          </w:tcPr>
          <w:p>
            <w:pPr>
              <w:pStyle w:val="ReportTableText"/>
            </w:pPr>
            <w:r>
              <w:t>229 passed</w:t>
            </w:r>
          </w:p>
        </w:tc>
      </w:tr>
      <w:tr>
        <w:trPr>
          <w:cantSplit/>
        </w:trPr>
        <w:tc>
          <w:tcPr>
            <w:tcW w:type="dxa" w:w="3300"/>
            <w:vAlign w:val="center"/>
          </w:tcPr>
          <w:p>
            <w:pPr>
              <w:pStyle w:val="ReportTableText"/>
            </w:pPr>
            <w:r>
              <w:t>Web component/handler groups</w:t>
            </w:r>
          </w:p>
        </w:tc>
        <w:tc>
          <w:tcPr>
            <w:tcW w:type="dxa" w:w="6060"/>
            <w:vAlign w:val="center"/>
          </w:tcPr>
          <w:p>
            <w:pPr>
              <w:pStyle w:val="ReportTableText"/>
            </w:pPr>
            <w:r>
              <w:t>81 passed, including four new enrollment groups</w:t>
            </w:r>
          </w:p>
        </w:tc>
      </w:tr>
      <w:tr>
        <w:trPr>
          <w:cantSplit/>
        </w:trPr>
        <w:tc>
          <w:tcPr>
            <w:tcW w:type="dxa" w:w="3300"/>
            <w:vAlign w:val="center"/>
          </w:tcPr>
          <w:p>
            <w:pPr>
              <w:pStyle w:val="ReportTableText"/>
            </w:pPr>
            <w:r>
              <w:t>Real Supabase SDK / Next contracts</w:t>
            </w:r>
          </w:p>
        </w:tc>
        <w:tc>
          <w:tcPr>
            <w:tcW w:type="dxa" w:w="6060"/>
            <w:vAlign w:val="center"/>
          </w:tcPr>
          <w:p>
            <w:pPr>
              <w:pStyle w:val="ReportTableText"/>
            </w:pPr>
            <w:r>
              <w:t>16 passed; enrollment group extended</w:t>
            </w:r>
          </w:p>
        </w:tc>
      </w:tr>
      <w:tr>
        <w:trPr>
          <w:cantSplit/>
        </w:trPr>
        <w:tc>
          <w:tcPr>
            <w:tcW w:type="dxa" w:w="3300"/>
            <w:vAlign w:val="center"/>
          </w:tcPr>
          <w:p>
            <w:pPr>
              <w:pStyle w:val="ReportTableText"/>
            </w:pPr>
            <w:r>
              <w:t>Strict web types / lint / production build</w:t>
            </w:r>
          </w:p>
        </w:tc>
        <w:tc>
          <w:tcPr>
            <w:tcW w:type="dxa" w:w="6060"/>
            <w:vAlign w:val="center"/>
          </w:tcPr>
          <w:p>
            <w:pPr>
              <w:pStyle w:val="ReportTableText"/>
            </w:pPr>
            <w:r>
              <w:t>Passed; zero lint warnings</w:t>
            </w:r>
          </w:p>
        </w:tc>
      </w:tr>
      <w:tr>
        <w:trPr>
          <w:cantSplit/>
        </w:trPr>
        <w:tc>
          <w:tcPr>
            <w:tcW w:type="dxa" w:w="3300"/>
            <w:vAlign w:val="center"/>
          </w:tcPr>
          <w:p>
            <w:pPr>
              <w:pStyle w:val="ReportTableText"/>
            </w:pPr>
            <w:r>
              <w:t>Final build after control styling</w:t>
            </w:r>
          </w:p>
        </w:tc>
        <w:tc>
          <w:tcPr>
            <w:tcW w:type="dxa" w:w="6060"/>
            <w:vAlign w:val="center"/>
          </w:tcPr>
          <w:p>
            <w:pPr>
              <w:pStyle w:val="ReportTableText"/>
            </w:pPr>
            <w:r>
              <w:t>Passed, including lint/types</w:t>
            </w:r>
          </w:p>
        </w:tc>
      </w:tr>
      <w:tr>
        <w:trPr>
          <w:cantSplit/>
        </w:trPr>
        <w:tc>
          <w:tcPr>
            <w:tcW w:type="dxa" w:w="3300"/>
            <w:vAlign w:val="center"/>
          </w:tcPr>
          <w:p>
            <w:pPr>
              <w:pStyle w:val="ReportTableText"/>
            </w:pPr>
            <w:r>
              <w:t>Genuine local Supabase Auth/MFA</w:t>
            </w:r>
          </w:p>
        </w:tc>
        <w:tc>
          <w:tcPr>
            <w:tcW w:type="dxa" w:w="6060"/>
            <w:vAlign w:val="center"/>
          </w:tcPr>
          <w:p>
            <w:pPr>
              <w:pStyle w:val="ReportTableText"/>
            </w:pPr>
            <w:r>
              <w:t>229 passed; cleanupPassed=true</w:t>
            </w:r>
          </w:p>
        </w:tc>
      </w:tr>
      <w:tr>
        <w:trPr>
          <w:cantSplit/>
        </w:trPr>
        <w:tc>
          <w:tcPr>
            <w:tcW w:type="dxa" w:w="3300"/>
            <w:vAlign w:val="center"/>
          </w:tcPr>
          <w:p>
            <w:pPr>
              <w:pStyle w:val="ReportTableText"/>
            </w:pPr>
            <w:r>
              <w:t>Fresh root and web npm advisories</w:t>
            </w:r>
          </w:p>
        </w:tc>
        <w:tc>
          <w:tcPr>
            <w:tcW w:type="dxa" w:w="6060"/>
            <w:vAlign w:val="center"/>
          </w:tcPr>
          <w:p>
            <w:pPr>
              <w:pStyle w:val="ReportTableText"/>
            </w:pPr>
            <w:r>
              <w:t>0 at every severity</w:t>
            </w:r>
          </w:p>
        </w:tc>
      </w:tr>
      <w:tr>
        <w:trPr>
          <w:cantSplit/>
        </w:trPr>
        <w:tc>
          <w:tcPr>
            <w:tcW w:type="dxa" w:w="3300"/>
            <w:vAlign w:val="center"/>
          </w:tcPr>
          <w:p>
            <w:pPr>
              <w:pStyle w:val="ReportTableText"/>
            </w:pPr>
            <w:r>
              <w:t>Browser static artifact scan</w:t>
            </w:r>
          </w:p>
        </w:tc>
        <w:tc>
          <w:tcPr>
            <w:tcW w:type="dxa" w:w="6060"/>
            <w:vAlign w:val="center"/>
          </w:tcPr>
          <w:p>
            <w:pPr>
              <w:pStyle w:val="ReportTableText"/>
            </w:pPr>
            <w:r>
              <w:t>67 artifacts, 0 findings</w:t>
            </w:r>
          </w:p>
        </w:tc>
      </w:tr>
      <w:tr>
        <w:trPr>
          <w:cantSplit/>
        </w:trPr>
        <w:tc>
          <w:tcPr>
            <w:tcW w:type="dxa" w:w="3300"/>
            <w:vAlign w:val="center"/>
          </w:tcPr>
          <w:p>
            <w:pPr>
              <w:pStyle w:val="ReportTableText"/>
            </w:pPr>
            <w:r>
              <w:t>Repository heuristic scan</w:t>
            </w:r>
          </w:p>
        </w:tc>
        <w:tc>
          <w:tcPr>
            <w:tcW w:type="dxa" w:w="6060"/>
            <w:vAlign w:val="center"/>
          </w:tcPr>
          <w:p>
            <w:pPr>
              <w:pStyle w:val="ReportTableText"/>
            </w:pPr>
            <w:r>
              <w:t>476 scanned, 128 skipped; 0 findings</w:t>
            </w:r>
          </w:p>
        </w:tc>
      </w:tr>
    </w:tbl>
    <w:p>
      <w:pPr>
        <w:spacing w:after="80"/>
      </w:pPr>
    </w:p>
    <w:p>
      <w:r>
        <w:t xml:space="preserve">All </w:t>
      </w:r>
      <w:r>
        <w:rPr>
          <w:b/>
        </w:rPr>
        <w:t>50/50 backend/shared files</w:t>
      </w:r>
      <w:r>
        <w:t xml:space="preserve"> are measured, none omitted: lines </w:t>
      </w:r>
      <w:r>
        <w:rPr>
          <w:b/>
        </w:rPr>
        <w:t>2,975/2,996 (99.30%)</w:t>
      </w:r>
      <w:r>
        <w:t xml:space="preserve">, branches </w:t>
      </w:r>
      <w:r>
        <w:rPr>
          <w:b/>
        </w:rPr>
        <w:t>2,242/2,316 (96.80%)</w:t>
      </w:r>
      <w:r>
        <w:t xml:space="preserve">, functions </w:t>
      </w:r>
      <w:r>
        <w:rPr>
          <w:b/>
        </w:rPr>
        <w:t>292/299 (97.66%)</w:t>
      </w:r>
      <w:r>
        <w:t>. Each aggregate exceeds 95%. The denominator excludes frontend/ browser flows, SQL, genuine hosted integrations and src/server.js process lifecycle; those are separate acceptance scopes, not an implied coverage pass.</w:t>
      </w:r>
    </w:p>
    <w:p>
      <w:r>
        <w:t>The genuine total is 89 baseline + 120 native-hook/factor + 20 workflow checks. Two new genuine assertions verify that the returned manual key exactly equals the actual provider key and is neither cached nor written to session cookies. That same key produces a successful genuine TOTP verification. Supabase Auth 2.197.0/PostgreSQL 18 keep their pinned images; generated values remain private, and the existing real log-privacy check passes. No human authenticator entry, physical QR scan, managed-cloud session or email delivery is claimed.</w:t>
      </w:r>
    </w:p>
    <w:p>
      <w:r>
        <w:t>Root negatives cover enrollment-only disclosure, caller-field injection and result audit outages. SDK tests reject absent/invalid/oversized keys and preserve HttpOnly tokens. Component tests exercise masking/reveal, absolute expiry across rerenders, return from suspended tabs, explicit hide, confirmed discard, successful verify, no key in outgoing requests and fixed malformed/failure feedback. There is no browser-storage access. These are controlled synthetic component checks, not a browser, screen-reader or physical-device acceptance run.</w:t>
      </w:r>
    </w:p>
    <w:p>
      <w:r>
        <w:t>Attack-path scope: an actor needs an authorized current enrollment to receive its key; requesting another factor/role through enrollment rejects before the provider call. Audit failure prevents disclosure. A malformed or redirected same-origin API/proxy response is a conditional diagnostic-disclosure/credential- forwarding path; controlled malformed-body canaries now show only fixed feedback, and fetch rejects redirects. No external attacker-controlled endpoint was attacked and no exposed hosted exploit is asserted. Revealing the key on the owner's device has the same sensitive pairing purpose as the preexisting QR; privacy depends on the owner protecting that device/view and its authenticator app.</w:t>
      </w:r>
    </w:p>
    <w:p>
      <w:r>
        <w:t>The Windows restricted-token run failed the existing child-process isolation probe; the final complete run passes outside that token without weakening the guard or nondisclosure assertions. A later local build hit spawn EPERM and passed on the permitted rerun. These are recorded setup failures, not application bypasses. The official release index still lists 24.22.1 as the latest stable Node 24 security release on 22 October. This is a reviewed runtime/package baseline, not a provider, operating-system or AI-platform pentest or a future advisory guarantee.</w:t>
      </w:r>
    </w:p>
    <w:p>
      <w:r>
        <w:t>Sources: [TOTP setup/key flow](https://supabase.com/docs/guides/auth/auth-mfa/totp), [native-hook plan availability](https://supabase.com/docs/guides/auth/auth-hooks), [official Node release index](https://nodejs.org/dist/index.json).</w:t>
      </w:r>
    </w:p>
    <w:p>
      <w:pPr>
        <w:pStyle w:val="Heading1"/>
      </w:pPr>
      <w:r>
        <w:t>Full launch gate status and remaining work</w:t>
      </w:r>
    </w:p>
    <w:p>
      <w:r>
        <w:t>The [full dashboard/release report](2026-10-21-order-dashboards-launch-gates.md) remains the comprehensive requirement map. Customer/vendor/admin order views use real scoped reads and controlled forms, but none is the complete required dashboard suite. This slice adds manual enrollment only; it does not close the following:</w:t>
      </w:r>
    </w:p>
    <w:p>
      <w:pPr>
        <w:pStyle w:val="ReportList"/>
        <w:numPr>
          <w:ilvl w:val="0"/>
          <w:numId w:val="80"/>
        </w:numPr>
      </w:pPr>
      <w:r>
        <w:t>Auth: real managed registration/email/recovery/session acceptance, customer/vendor security pages, physical authenticator and hosted replacement/recovery operations.</w:t>
      </w:r>
    </w:p>
    <w:p>
      <w:pPr>
        <w:pStyle w:val="ReportList"/>
        <w:numPr>
          <w:ilvl w:val="0"/>
          <w:numId w:val="80"/>
        </w:numPr>
      </w:pPr>
      <w:r>
        <w:t>Private files: authenticated ingress/queue, hosted worker, buckets/IAM, current scan operations, retention/deletion, short-lived access and actual proof viewer.</w:t>
      </w:r>
    </w:p>
    <w:p>
      <w:pPr>
        <w:pStyle w:val="ReportList"/>
        <w:numPr>
          <w:ilvl w:val="0"/>
          <w:numId w:val="80"/>
        </w:numPr>
      </w:pPr>
      <w:r>
        <w:t>Commerce: approved catalogue/vendor records, server-authoritative configurable pricing/fees/tax/discount policy, persistent cart, checkout and receipts/invoices.</w:t>
      </w:r>
    </w:p>
    <w:p>
      <w:pPr>
        <w:pStyle w:val="ReportList"/>
        <w:numPr>
          <w:ilvl w:val="0"/>
          <w:numId w:val="80"/>
        </w:numPr>
      </w:pPr>
      <w:r>
        <w:t>Orders/proofs/QC: complete production UI, revision comments, all required payment/ delivery/refund states and genuine end-to-end role journeys. Existing local transactions/audits do not prove the complete hosted application workflow.</w:t>
      </w:r>
    </w:p>
    <w:p>
      <w:pPr>
        <w:pStyle w:val="ReportList"/>
        <w:numPr>
          <w:ilvl w:val="0"/>
          <w:numId w:val="80"/>
        </w:numPr>
      </w:pPr>
      <w:r>
        <w:t>Payments: approved sandbox/live provider, signed replay-safe webhooks, total reconciliation, failure/abandonment/refund/payout operations. No live payment success or funds movement is simulated.</w:t>
      </w:r>
    </w:p>
    <w:p>
      <w:pPr>
        <w:pStyle w:val="ReportList"/>
        <w:numPr>
          <w:ilvl w:val="0"/>
          <w:numId w:val="80"/>
        </w:numPr>
      </w:pPr>
      <w:r>
        <w:t>Notifications/monitoring: genuine event-driven messages, approved test/production email delivery, security-change notifications and verified operational error monitoring.</w:t>
      </w:r>
    </w:p>
    <w:p>
      <w:pPr>
        <w:pStyle w:val="ReportList"/>
        <w:numPr>
          <w:ilvl w:val="0"/>
          <w:numId w:val="80"/>
        </w:numPr>
      </w:pPr>
      <w:r>
        <w:t>Imports/design: missing writing block 58163, complete runtime/fallback acceptance, supplier-approved models/limits and remaining public reference/demo catalogue data.</w:t>
      </w:r>
    </w:p>
    <w:p>
      <w:pPr>
        <w:pStyle w:val="ReportList"/>
        <w:numPr>
          <w:ilvl w:val="0"/>
          <w:numId w:val="80"/>
        </w:numPr>
      </w:pPr>
      <w:r>
        <w:t>Acceptance: physical Chrome/Edge/Android/iPhone/tablet where available, keyboard/ touch/network/reduced-motion/no-WebGL evidence, screen-reader/accessibility and performance/load/CWV results. No new pass is claimed for any of these.</w:t>
      </w:r>
    </w:p>
    <w:p>
      <w:pPr>
        <w:pStyle w:val="ReportList"/>
        <w:numPr>
          <w:ilvl w:val="0"/>
          <w:numId w:val="80"/>
        </w:numPr>
      </w:pPr>
      <w:r>
        <w:t>Release: genuine isolated full-service Vercel staging, backup restore and rollback rehearsal, production secrets privately configured, human go/no-go and explicit approval.</w:t>
      </w:r>
    </w:p>
    <w:p>
      <w:r>
        <w:t>Ordinary Supabase TOTP is available on Free. The required native verification hook under the existing security policy is the separate Teams/Enterprise capability. Fresh official documentation and organization reads confirm that compatibility gap. A compatible existing managed target or authorized self-hosted HTTPS target with a reviewed adapter is still needed. No paid upgrade, weakening of the hook or Production bootstrap is inferred. Approved payment/email choices and the source for writing block 58163 remain unanswered. Existing first-target staging stop holds.</w:t>
      </w:r>
    </w:p>
    <w:p>
      <w:r>
        <w:t>Remaining mock data is limited to controlled tests and the existing public product/ model reference data; no synthetic user/order or key was seeded into hosted services. No original artwork, supplied branding asset or customer's file was changed.</w:t>
      </w:r>
    </w:p>
    <w:p>
      <w:pPr>
        <w:pStyle w:val="Heading1"/>
      </w:pPr>
      <w:r>
        <w:t>Controlled rollout, rollback and team actions</w:t>
      </w:r>
    </w:p>
    <w:p>
      <w:r>
        <w:t>Production stays unchanged. Before any release, capture exact production target/ URL/deployment/commit/environment fingerprints, obtain a reviewed private backup and prove restoration on isolation. Reconcile migration history and apply only reviewed missing forward files, verify actual hosted role/Storage/MFA/payment/ notification denials and positive journeys, and obtain explicit approval for the exact release candidate. No production migration, backup restore or rollback rehearsal occurred here.</w:t>
      </w:r>
    </w:p>
    <w:p>
      <w:r>
        <w:t>On a critical rollout failure, stop sensitive intake/processing, restore the recorded compatible application/flag configuration, preserve committed orders/payment/audit history and reconcile unknown provider outcomes privately. Use reviewed forward schema repair; never destructive migration reversal or data deletion. The detailed controlled procedure in the preceding report remains pending rehearsal/approval.</w:t>
      </w:r>
    </w:p>
    <w:p>
      <w:pPr>
        <w:pStyle w:val="ReportList"/>
        <w:numPr>
          <w:ilvl w:val="0"/>
          <w:numId w:val="80"/>
        </w:numPr>
      </w:pPr>
      <w:r>
        <w:rPr>
          <w:b/>
        </w:rPr>
        <w:t>Uchi:</w:t>
      </w:r>
      <w:r>
        <w:t xml:space="preserve"> supply the compatible isolated target and approved providers; confirm any new paid cost separately. Resolve staging routing, source 58163 and safe development push/deployment mapping. Coordinate devices and eventual release authorization.</w:t>
      </w:r>
    </w:p>
    <w:p>
      <w:pPr>
        <w:pStyle w:val="ReportList"/>
        <w:numPr>
          <w:ilvl w:val="0"/>
          <w:numId w:val="80"/>
        </w:numPr>
      </w:pPr>
      <w:r>
        <w:rPr>
          <w:b/>
        </w:rPr>
        <w:t>Mumba:</w:t>
      </w:r>
      <w:r>
        <w:t xml:space="preserve"> review the enrollment-only DTO and seed handling, genuine provider/ native-hook/cookie lifecycle and remaining customer/vendor/worker/commerce flows.</w:t>
      </w:r>
    </w:p>
    <w:p>
      <w:pPr>
        <w:pStyle w:val="ReportList"/>
        <w:numPr>
          <w:ilvl w:val="0"/>
          <w:numId w:val="80"/>
        </w:numPr>
      </w:pPr>
      <w:r>
        <w:rPr>
          <w:b/>
        </w:rPr>
        <w:t>Taizya:</w:t>
      </w:r>
      <w:r>
        <w:t xml:space="preserve"> review key masking and keyboard/screen-reader/touch controls with synthetic pairing data, then obtain genuine physical manual-entry/QR evidence on the approved staging target. Never capture a real setup key in shared evidence.</w:t>
      </w:r>
    </w:p>
    <w:p>
      <w:pPr>
        <w:pStyle w:val="ReportList"/>
        <w:numPr>
          <w:ilvl w:val="0"/>
          <w:numId w:val="80"/>
        </w:numPr>
      </w:pPr>
      <w:r>
        <w:rPr>
          <w:b/>
        </w:rPr>
        <w:t>Lubasi:</w:t>
      </w:r>
      <w:r>
        <w:t xml:space="preserve"> define operational MFA/privacy/recovery support and device availability, and continue supplier, QC, delivery, payment/refund policy evidence with Uchi.</w:t>
      </w:r>
    </w:p>
    <w:p>
      <w:r>
        <w:t>Recommended Phase 2 work remains deferred until accepted Phase 1, traction and an explicit scope decision. Measurement-led queue/reporting scalability may follow; no escrow, blockchain or expanded marketplace implementation is introduced.</w:t>
      </w:r>
    </w:p>
    <w:p>
      <w:r>
        <w:t>The Word counterpart uses scripts/generate_team_report.py, compact_reference_guide and memo_masthead. Structural/link/evidence/geometry checks run before delivery. Rendering is attempted; missing LibreOffice/soffice prevents page-image inspection. No visual QA, security-provider certification or human approval is inferred.</w:t>
      </w:r>
    </w:p>
    <w:p>
      <w:r>
        <w:t xml:space="preserve">Final repository heuristic scan: </w:t>
      </w:r>
      <w:r>
        <w:rPr>
          <w:b/>
        </w:rPr>
        <w:t>476 files scanned, 128 skipped, zero findings</w:t>
      </w:r>
      <w:r>
        <w:t>. The generator's structural audit and report link/content/coverage/deployment/Word geometry checks pass. Git whitespace checks pass. Rendered review remains blocked by missing soffice; no visual-QA pass or human acceptance is inferred.</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