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Ink — Phase 1 authorization evaluator</w:t>
      </w:r>
    </w:p>
    <w:p>
      <w:r>
        <w:t xml:space="preserve">Date: 15 October 2026. Backend owners: Uchi Chinyama and Mumba Chitonge. Status: </w:t>
      </w:r>
      <w:r>
        <w:rPr>
          <w:b/>
        </w:rPr>
        <w:t>PARTIAL — locally verified policy foundation; production authorization is not implemented by this slice.</w:t>
      </w:r>
    </w:p>
    <w:p>
      <w:pPr>
        <w:pStyle w:val="Heading1"/>
      </w:pPr>
      <w:r>
        <w:t>Overall status and completion measure</w:t>
      </w:r>
    </w:p>
    <w:p>
      <w:r>
        <w:t xml:space="preserve">Phase 1 remains PARTIAL. Acceptance completion is </w:t>
      </w:r>
      <w:r>
        <w:rPr>
          <w:b/>
        </w:rPr>
        <w:t>0 of 17 requirement groups fully proven (0%)</w:t>
      </w:r>
      <w:r>
        <w:t xml:space="preserve"> in the closure checklist, excluding the three completed inspection/baseline items and delivered sub-slices. This measures final acceptance, not estimated source-code effort. Existing UI/backend foundations, account-access and recovery code, and this policy evaluator are partial implementations. Backend unit-test coverage above 95% does not mean the product is 95% complete or tested.</w:t>
      </w:r>
    </w:p>
    <w:p>
      <w:pPr>
        <w:pStyle w:val="Heading1"/>
      </w:pPr>
      <w:r>
        <w:t>Implemented and partial requirements</w:t>
      </w:r>
    </w:p>
    <w:p>
      <w:r>
        <w:t>The new pure server policy evaluator covers all eight requested roles and named actions for orders, files, quotations, assignment, proofs, production, QC, delivery, audit and identity administration. It requires trusted identity/resource facts; browser metadata supplies no authority. Unknown capabilities, malformed IDs, inactive identities, unknown/multiple roles, missing scope and invalid grants deny.</w:t>
      </w:r>
    </w:p>
    <w:p>
      <w:r>
        <w:t>Customers are scoped to their orders. Organization membership and order-specific grants restrict delegated actions. Vendors require verified status and active assignment; designers and delivery partners require their own assignments. Delivery roles receive no file permission. File access requires a SAFE active version; production-file access additionally requires approval. Payment and latest proof approval gates apply even to administrator production overrides. Privileged actions need exact resource/actor/capability grants, purpose, reason, expiry and AAL2. SUPER_ADMIN file reads need explicit break-glass authority.</w:t>
      </w:r>
    </w:p>
    <w:p>
      <w:r>
        <w:t>This is a pure decision function, not live authorization enforcement. It has no route callers, trusted database context loader, RLS or Storage integration. It cannot verify freshness, perform field projection, mutate records, persist an audit or prove actual MFA enrollment. The narrower existing application roles and database schema remain in use. AUTHZ-01, AUTH-02 and TEST-01 remain incomplete.</w:t>
      </w:r>
    </w:p>
    <w:p>
      <w:pPr>
        <w:pStyle w:val="Heading1"/>
      </w:pPr>
      <w:r>
        <w:t>Missing requirements</w:t>
      </w:r>
    </w:p>
    <w:p>
      <w:r>
        <w:t>Genuine registration/mail/reset verification, account mapping, suspension/deletion, vendor activation, privileged lifecycle and MFA enforcement remain open. Private upload buckets, signature/metadata checks, production malware scanning and signed download audits are unbuilt. Persistent orders, transactional state transitions, quotations/pricing snapshots, payment confirmation, proof versions, production jobs/evidence, QC corrections and role dashboards remain unbuilt. Full lifecycle audits, database/Storage isolation tests, API and fifteen required end-to-end scenarios, manual acceptance and deployed Phase 1 verification remain open. Escrow, cryptocurrency custody and blockchain work remain outside the phase.</w:t>
      </w:r>
    </w:p>
    <w:p>
      <w:pPr>
        <w:pStyle w:val="Heading1"/>
      </w:pPr>
      <w:r>
        <w:t>Files created and modified</w:t>
      </w:r>
    </w:p>
    <w:p>
      <w:pPr>
        <w:pStyle w:val="ReportList"/>
        <w:numPr>
          <w:ilvl w:val="0"/>
          <w:numId w:val="80"/>
        </w:numPr>
      </w:pPr>
      <w:r>
        <w:t xml:space="preserve">Created: </w:t>
      </w:r>
      <w:r>
        <w:rPr>
          <w:rFonts w:ascii="Consolas" w:hAnsi="Consolas"/>
          <w:sz w:val="20"/>
        </w:rPr>
        <w:t>src/backend/permissions/phase1.ts</w:t>
      </w:r>
      <w:r>
        <w:t xml:space="preserve"> and </w:t>
      </w:r>
      <w:r>
        <w:rPr>
          <w:rFonts w:ascii="Consolas" w:hAnsi="Consolas"/>
          <w:sz w:val="20"/>
        </w:rPr>
        <w:t>test/phase1-permissions.test.ts</w:t>
      </w:r>
      <w:r>
        <w:t>.</w:t>
      </w:r>
    </w:p>
    <w:p>
      <w:pPr>
        <w:pStyle w:val="ReportList"/>
        <w:numPr>
          <w:ilvl w:val="0"/>
          <w:numId w:val="80"/>
        </w:numPr>
      </w:pPr>
      <w:r>
        <w:t>Created: this dated Markdown report and matching Word report.</w:t>
      </w:r>
    </w:p>
    <w:p>
      <w:pPr>
        <w:pStyle w:val="ReportList"/>
        <w:numPr>
          <w:ilvl w:val="0"/>
          <w:numId w:val="80"/>
        </w:numPr>
      </w:pPr>
      <w:r>
        <w:t xml:space="preserve">Modified: </w:t>
      </w:r>
      <w:r>
        <w:rPr>
          <w:rFonts w:ascii="Consolas" w:hAnsi="Consolas"/>
          <w:sz w:val="20"/>
        </w:rPr>
        <w:t>package.json</w:t>
      </w:r>
      <w:r>
        <w:t xml:space="preserve">, </w:t>
      </w:r>
      <w:r>
        <w:rPr>
          <w:rFonts w:ascii="Consolas" w:hAnsi="Consolas"/>
          <w:sz w:val="20"/>
        </w:rPr>
        <w:t>docs/phase-1-permission-matrix.md</w:t>
      </w:r>
      <w:r>
        <w:t xml:space="preserve">, </w:t>
      </w:r>
      <w:r>
        <w:rPr>
          <w:rFonts w:ascii="Consolas" w:hAnsi="Consolas"/>
          <w:sz w:val="20"/>
        </w:rPr>
        <w:t>docs/phase-1-closure-checklist.md</w:t>
      </w:r>
      <w:r>
        <w:t xml:space="preserve">, </w:t>
      </w:r>
      <w:r>
        <w:rPr>
          <w:rFonts w:ascii="Consolas" w:hAnsi="Consolas"/>
          <w:sz w:val="20"/>
        </w:rPr>
        <w:t>docs/task-board.md</w:t>
      </w:r>
      <w:r>
        <w:t xml:space="preserve">, </w:t>
      </w:r>
      <w:r>
        <w:rPr>
          <w:rFonts w:ascii="Consolas" w:hAnsi="Consolas"/>
          <w:sz w:val="20"/>
        </w:rPr>
        <w:t>docs/team-report.md</w:t>
      </w:r>
      <w:r>
        <w:t xml:space="preserve">, </w:t>
      </w:r>
      <w:r>
        <w:rPr>
          <w:rFonts w:ascii="Consolas" w:hAnsi="Consolas"/>
          <w:sz w:val="20"/>
        </w:rPr>
        <w:t>docs/security-review.md</w:t>
      </w:r>
      <w:r>
        <w:t xml:space="preserve"> and </w:t>
      </w:r>
      <w:r>
        <w:rPr>
          <w:rFonts w:ascii="Consolas" w:hAnsi="Consolas"/>
          <w:sz w:val="20"/>
        </w:rPr>
        <w:t>README.md</w:t>
      </w:r>
      <w:r>
        <w:t>.</w:t>
      </w:r>
    </w:p>
    <w:p>
      <w:pPr>
        <w:pStyle w:val="ReportList"/>
        <w:numPr>
          <w:ilvl w:val="0"/>
          <w:numId w:val="80"/>
        </w:numPr>
      </w:pPr>
      <w:r>
        <w:t xml:space="preserve">Preserved: the existing user-owned </w:t>
      </w:r>
      <w:r>
        <w:rPr>
          <w:rFonts w:ascii="Consolas" w:hAnsi="Consolas"/>
          <w:sz w:val="20"/>
        </w:rPr>
        <w:t>apps/web/next-env.d.ts</w:t>
      </w:r>
      <w:r>
        <w:t xml:space="preserve"> edit. The verifier restores its original bytes after Next.js generation; it is excluded from staging.</w:t>
      </w:r>
    </w:p>
    <w:p>
      <w:pPr>
        <w:pStyle w:val="Heading1"/>
      </w:pPr>
      <w:r>
        <w:t>Database migrations, RLS and Storage policies</w:t>
      </w:r>
    </w:p>
    <w:p>
      <w:r>
        <w:t>None created, applied or changed. This slice opens no route or data grant. The existing hosted vendor-migration-history discrepancy still needs reconciliation before further database rollout. Database RLS and private Storage acceptance for the requested workflows have not passed.</w:t>
      </w:r>
    </w:p>
    <w:p>
      <w:pPr>
        <w:pStyle w:val="Heading1"/>
      </w:pPr>
      <w:r>
        <w:t>Tests executed and actual results</w:t>
      </w:r>
    </w:p>
    <w:p>
      <w:r>
        <w:t xml:space="preserve">The final run uses the repository's reviewed private Node 24.21.0 runtime and </w:t>
      </w:r>
      <w:r>
        <w:rPr>
          <w:rFonts w:ascii="Consolas" w:hAnsi="Consolas"/>
          <w:sz w:val="20"/>
        </w:rPr>
        <w:t>.private/verify-phase1-readiness.ps1</w:t>
      </w:r>
      <w:r>
        <w:t xml:space="preserve"> on 15 October 2026.</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Result</w:t>
            </w:r>
          </w:p>
        </w:tc>
      </w:tr>
      <w:tr>
        <w:trPr>
          <w:cantSplit/>
        </w:trPr>
        <w:tc>
          <w:tcPr>
            <w:tcW w:type="dxa" w:w="3300"/>
            <w:vAlign w:val="center"/>
          </w:tcPr>
          <w:p>
            <w:pPr>
              <w:pStyle w:val="ReportTableText"/>
            </w:pPr>
            <w:r>
              <w:t>Complete root suite through coverage runner</w:t>
            </w:r>
          </w:p>
        </w:tc>
        <w:tc>
          <w:tcPr>
            <w:tcW w:type="dxa" w:w="6060"/>
            <w:vAlign w:val="center"/>
          </w:tcPr>
          <w:p>
            <w:pPr>
              <w:pStyle w:val="ReportTableText"/>
            </w:pPr>
            <w:r>
              <w:t>178 passed; zero failed or skipped</w:t>
            </w:r>
          </w:p>
        </w:tc>
      </w:tr>
      <w:tr>
        <w:trPr>
          <w:cantSplit/>
        </w:trPr>
        <w:tc>
          <w:tcPr>
            <w:tcW w:type="dxa" w:w="3300"/>
            <w:vAlign w:val="center"/>
          </w:tcPr>
          <w:p>
            <w:pPr>
              <w:pStyle w:val="ReportTableText"/>
            </w:pPr>
            <w:r>
              <w:t>New policy tests</w:t>
            </w:r>
          </w:p>
        </w:tc>
        <w:tc>
          <w:tcPr>
            <w:tcW w:type="dxa" w:w="6060"/>
            <w:vAlign w:val="center"/>
          </w:tcPr>
          <w:p>
            <w:pPr>
              <w:pStyle w:val="ReportTableText"/>
            </w:pPr>
            <w:r>
              <w:t>Ten groups pass; all eight roles, cross-scope denials, grants, files and production gates</w:t>
            </w:r>
          </w:p>
        </w:tc>
      </w:tr>
      <w:tr>
        <w:trPr>
          <w:cantSplit/>
        </w:trPr>
        <w:tc>
          <w:tcPr>
            <w:tcW w:type="dxa" w:w="3300"/>
            <w:vAlign w:val="center"/>
          </w:tcPr>
          <w:p>
            <w:pPr>
              <w:pStyle w:val="ReportTableText"/>
            </w:pPr>
            <w:r>
              <w:t>Backend/shared lines</w:t>
            </w:r>
          </w:p>
        </w:tc>
        <w:tc>
          <w:tcPr>
            <w:tcW w:type="dxa" w:w="6060"/>
            <w:vAlign w:val="center"/>
          </w:tcPr>
          <w:p>
            <w:pPr>
              <w:pStyle w:val="ReportTableText"/>
            </w:pPr>
            <w:r>
              <w:t>1685/1699 = 99.1760%</w:t>
            </w:r>
          </w:p>
        </w:tc>
      </w:tr>
      <w:tr>
        <w:trPr>
          <w:cantSplit/>
        </w:trPr>
        <w:tc>
          <w:tcPr>
            <w:tcW w:type="dxa" w:w="3300"/>
            <w:vAlign w:val="center"/>
          </w:tcPr>
          <w:p>
            <w:pPr>
              <w:pStyle w:val="ReportTableText"/>
            </w:pPr>
            <w:r>
              <w:t>Backend/shared branches</w:t>
            </w:r>
          </w:p>
        </w:tc>
        <w:tc>
          <w:tcPr>
            <w:tcW w:type="dxa" w:w="6060"/>
            <w:vAlign w:val="center"/>
          </w:tcPr>
          <w:p>
            <w:pPr>
              <w:pStyle w:val="ReportTableText"/>
            </w:pPr>
            <w:r>
              <w:t>1158/1203 = 96.2594%</w:t>
            </w:r>
          </w:p>
        </w:tc>
      </w:tr>
      <w:tr>
        <w:trPr>
          <w:cantSplit/>
        </w:trPr>
        <w:tc>
          <w:tcPr>
            <w:tcW w:type="dxa" w:w="3300"/>
            <w:vAlign w:val="center"/>
          </w:tcPr>
          <w:p>
            <w:pPr>
              <w:pStyle w:val="ReportTableText"/>
            </w:pPr>
            <w:r>
              <w:t>Backend/shared functions</w:t>
            </w:r>
          </w:p>
        </w:tc>
        <w:tc>
          <w:tcPr>
            <w:tcW w:type="dxa" w:w="6060"/>
            <w:vAlign w:val="center"/>
          </w:tcPr>
          <w:p>
            <w:pPr>
              <w:pStyle w:val="ReportTableText"/>
            </w:pPr>
            <w:r>
              <w:t>155/158 = 98.1013%</w:t>
            </w:r>
          </w:p>
        </w:tc>
      </w:tr>
      <w:tr>
        <w:trPr>
          <w:cantSplit/>
        </w:trPr>
        <w:tc>
          <w:tcPr>
            <w:tcW w:type="dxa" w:w="3300"/>
            <w:vAlign w:val="center"/>
          </w:tcPr>
          <w:p>
            <w:pPr>
              <w:pStyle w:val="ReportTableText"/>
            </w:pPr>
            <w:r>
              <w:t>Coverage inventory</w:t>
            </w:r>
          </w:p>
        </w:tc>
        <w:tc>
          <w:tcPr>
            <w:tcW w:type="dxa" w:w="6060"/>
            <w:vAlign w:val="center"/>
          </w:tcPr>
          <w:p>
            <w:pPr>
              <w:pStyle w:val="ReportTableText"/>
            </w:pPr>
            <w:r>
              <w:t>All 33 in-scope files measured; 95% gate passes</w:t>
            </w:r>
          </w:p>
        </w:tc>
      </w:tr>
      <w:tr>
        <w:trPr>
          <w:cantSplit/>
        </w:trPr>
        <w:tc>
          <w:tcPr>
            <w:tcW w:type="dxa" w:w="3300"/>
            <w:vAlign w:val="center"/>
          </w:tcPr>
          <w:p>
            <w:pPr>
              <w:pStyle w:val="ReportTableText"/>
            </w:pPr>
            <w:r>
              <w:t>Security regression subset</w:t>
            </w:r>
          </w:p>
        </w:tc>
        <w:tc>
          <w:tcPr>
            <w:tcW w:type="dxa" w:w="6060"/>
            <w:vAlign w:val="center"/>
          </w:tcPr>
          <w:p>
            <w:pPr>
              <w:pStyle w:val="ReportTableText"/>
            </w:pPr>
            <w:r>
              <w:t>167 passed, including the ten new policy groups</w:t>
            </w:r>
          </w:p>
        </w:tc>
      </w:tr>
      <w:tr>
        <w:trPr>
          <w:cantSplit/>
        </w:trPr>
        <w:tc>
          <w:tcPr>
            <w:tcW w:type="dxa" w:w="3300"/>
            <w:vAlign w:val="center"/>
          </w:tcPr>
          <w:p>
            <w:pPr>
              <w:pStyle w:val="ReportTableText"/>
            </w:pPr>
            <w:r>
              <w:t>React/mesh UI checks</w:t>
            </w:r>
          </w:p>
        </w:tc>
        <w:tc>
          <w:tcPr>
            <w:tcW w:type="dxa" w:w="6060"/>
            <w:vAlign w:val="center"/>
          </w:tcPr>
          <w:p>
            <w:pPr>
              <w:pStyle w:val="ReportTableText"/>
            </w:pPr>
            <w:r>
              <w:t>Nine passed</w:t>
            </w:r>
          </w:p>
        </w:tc>
      </w:tr>
      <w:tr>
        <w:trPr>
          <w:cantSplit/>
        </w:trPr>
        <w:tc>
          <w:tcPr>
            <w:tcW w:type="dxa" w:w="3300"/>
            <w:vAlign w:val="center"/>
          </w:tcPr>
          <w:p>
            <w:pPr>
              <w:pStyle w:val="ReportTableText"/>
            </w:pPr>
            <w:r>
              <w:t>Supabase SDK/Next Auth synthetic checks</w:t>
            </w:r>
          </w:p>
        </w:tc>
        <w:tc>
          <w:tcPr>
            <w:tcW w:type="dxa" w:w="6060"/>
            <w:vAlign w:val="center"/>
          </w:tcPr>
          <w:p>
            <w:pPr>
              <w:pStyle w:val="ReportTableText"/>
            </w:pPr>
            <w:r>
              <w:t>Fourteen passed; genuine provider not used</w:t>
            </w:r>
          </w:p>
        </w:tc>
      </w:tr>
      <w:tr>
        <w:trPr>
          <w:cantSplit/>
        </w:trPr>
        <w:tc>
          <w:tcPr>
            <w:tcW w:type="dxa" w:w="3300"/>
            <w:vAlign w:val="center"/>
          </w:tcPr>
          <w:p>
            <w:pPr>
              <w:pStyle w:val="ReportTableText"/>
            </w:pPr>
            <w:r>
              <w:t>Web and strict backend/shared TypeScript</w:t>
            </w:r>
          </w:p>
        </w:tc>
        <w:tc>
          <w:tcPr>
            <w:tcW w:type="dxa" w:w="6060"/>
            <w:vAlign w:val="center"/>
          </w:tcPr>
          <w:p>
            <w:pPr>
              <w:pStyle w:val="ReportTableText"/>
            </w:pPr>
            <w:r>
              <w:t>Pass</w:t>
            </w:r>
          </w:p>
        </w:tc>
      </w:tr>
      <w:tr>
        <w:trPr>
          <w:cantSplit/>
        </w:trPr>
        <w:tc>
          <w:tcPr>
            <w:tcW w:type="dxa" w:w="3300"/>
            <w:vAlign w:val="center"/>
          </w:tcPr>
          <w:p>
            <w:pPr>
              <w:pStyle w:val="ReportTableText"/>
            </w:pPr>
            <w:r>
              <w:t>Next.js production build</w:t>
            </w:r>
          </w:p>
        </w:tc>
        <w:tc>
          <w:tcPr>
            <w:tcW w:type="dxa" w:w="6060"/>
            <w:vAlign w:val="center"/>
          </w:tcPr>
          <w:p>
            <w:pPr>
              <w:pStyle w:val="ReportTableText"/>
            </w:pPr>
            <w:r>
              <w:t>Pass; sixteen static pages generated</w:t>
            </w:r>
          </w:p>
        </w:tc>
      </w:tr>
      <w:tr>
        <w:trPr>
          <w:cantSplit/>
        </w:trPr>
        <w:tc>
          <w:tcPr>
            <w:tcW w:type="dxa" w:w="3300"/>
            <w:vAlign w:val="center"/>
          </w:tcPr>
          <w:p>
            <w:pPr>
              <w:pStyle w:val="ReportTableText"/>
            </w:pPr>
            <w:r>
              <w:t>Runtime patch baseline</w:t>
            </w:r>
          </w:p>
        </w:tc>
        <w:tc>
          <w:tcPr>
            <w:tcW w:type="dxa" w:w="6060"/>
            <w:vAlign w:val="center"/>
          </w:tcPr>
          <w:p>
            <w:pPr>
              <w:pStyle w:val="ReportTableText"/>
            </w:pPr>
            <w:r>
              <w:t>Pass for private Node 24.21.0; default runtime remains below the gate</w:t>
            </w:r>
          </w:p>
        </w:tc>
      </w:tr>
      <w:tr>
        <w:trPr>
          <w:cantSplit/>
        </w:trPr>
        <w:tc>
          <w:tcPr>
            <w:tcW w:type="dxa" w:w="3300"/>
            <w:vAlign w:val="center"/>
          </w:tcPr>
          <w:p>
            <w:pPr>
              <w:pStyle w:val="ReportTableText"/>
            </w:pPr>
            <w:r>
              <w:t>Repository security heuristics</w:t>
            </w:r>
          </w:p>
        </w:tc>
        <w:tc>
          <w:tcPr>
            <w:tcW w:type="dxa" w:w="6060"/>
            <w:vAlign w:val="center"/>
          </w:tcPr>
          <w:p>
            <w:pPr>
              <w:pStyle w:val="ReportTableText"/>
            </w:pPr>
            <w:r>
              <w:t>Pass; no matching findings; generated/private files excluded</w:t>
            </w:r>
          </w:p>
        </w:tc>
      </w:tr>
      <w:tr>
        <w:trPr>
          <w:cantSplit/>
        </w:trPr>
        <w:tc>
          <w:tcPr>
            <w:tcW w:type="dxa" w:w="3300"/>
            <w:vAlign w:val="center"/>
          </w:tcPr>
          <w:p>
            <w:pPr>
              <w:pStyle w:val="ReportTableText"/>
            </w:pPr>
            <w:r>
              <w:t>Root and web npm audits</w:t>
            </w:r>
          </w:p>
        </w:tc>
        <w:tc>
          <w:tcPr>
            <w:tcW w:type="dxa" w:w="6060"/>
            <w:vAlign w:val="center"/>
          </w:tcPr>
          <w:p>
            <w:pPr>
              <w:pStyle w:val="ReportTableText"/>
            </w:pPr>
            <w:r>
              <w:t>Both report zero known vulnerabilities</w:t>
            </w:r>
          </w:p>
        </w:tc>
      </w:tr>
    </w:tbl>
    <w:p>
      <w:pPr>
        <w:spacing w:after="80"/>
      </w:pPr>
    </w:p>
    <w:p>
      <w:r>
        <w:t xml:space="preserve">An initial ordinary </w:t>
      </w:r>
      <w:r>
        <w:rPr>
          <w:rFonts w:ascii="Consolas" w:hAnsi="Consolas"/>
          <w:sz w:val="20"/>
        </w:rPr>
        <w:t>npm test</w:t>
      </w:r>
      <w:r>
        <w:t xml:space="preserve"> invocation reported all 175 discovered tests passing but exited with failure because default discovery included the coverage runner and the unreviewed default runtime. A pinned-runtime default-discovery invocation also exited unsuccessfully because that runner rejects CLI test arguments. The supported coverage entry point selects root tests explicitly and passed 178/178 after the final fixes. Root </w:t>
      </w:r>
      <w:r>
        <w:rPr>
          <w:rFonts w:ascii="Consolas" w:hAnsi="Consolas"/>
          <w:sz w:val="20"/>
        </w:rPr>
        <w:t>npm test</w:t>
      </w:r>
      <w:r>
        <w:t xml:space="preserve"> now explicitly selects </w:t>
      </w:r>
      <w:r>
        <w:rPr>
          <w:rFonts w:ascii="Consolas" w:hAnsi="Consolas"/>
          <w:sz w:val="20"/>
        </w:rPr>
        <w:t>test/*.test.*</w:t>
      </w:r>
      <w:r>
        <w:t xml:space="preserve">, avoiding the utility-discovery defect; that exact pinned-runtime test command passes 178/178. The ten policy groups are also included in </w:t>
      </w:r>
      <w:r>
        <w:rPr>
          <w:rFonts w:ascii="Consolas" w:hAnsi="Consolas"/>
          <w:sz w:val="20"/>
        </w:rPr>
        <w:t>test:security</w:t>
      </w:r>
      <w:r>
        <w:t>. No failing command is counted as a successful gate. An earlier 93.84% branch result was fixed by adding meaningful negative and privileged-action cases; the 95% threshold was retained.</w:t>
      </w:r>
    </w:p>
    <w:p>
      <w:r>
        <w:t>Coverage excludes frontend/browser flows, SQL, the server lifecycle and genuine hosted integrations. No manual role acceptance or deployed authorization journey was executed. Existing UI checks are regression evidence only. The Three.js CJS deprecation warning and root test module-type warning remain non-fatal.</w:t>
      </w:r>
    </w:p>
    <w:p>
      <w:pPr>
        <w:pStyle w:val="Heading1"/>
      </w:pPr>
      <w:r>
        <w:t>Security findings and fixes</w:t>
      </w:r>
    </w:p>
    <w:p>
      <w:r>
        <w:t>These findings concern the new unconnected evaluator and synthetic facts, not a reproduced production exploit. They would become relevant if a future caller trusted incomplete context or used a broad grant as a business-action check.</w:t>
      </w:r>
    </w:p>
    <w:p>
      <w:pPr>
        <w:pStyle w:val="ReportList"/>
        <w:numPr>
          <w:ilvl w:val="0"/>
          <w:numId w:val="80"/>
        </w:numPr>
      </w:pPr>
      <w:r>
        <w:t>P1-POL-01: an organization admin could supply an order-shaped resource carrying its organization ID to the organization-management decision. Management now requires the resource ID to equal the organization ID. Own organization permits; order and other-organization IDs deny in tests.</w:t>
      </w:r>
    </w:p>
    <w:p>
      <w:pPr>
        <w:pStyle w:val="ReportList"/>
        <w:numPr>
          <w:ilvl w:val="0"/>
          <w:numId w:val="80"/>
        </w:numPr>
      </w:pPr>
      <w:r>
        <w:t>P1-POL-02: active vendor assignment alone previously permitted vendor access. Verified vendor status is now also required. Unverified assigned vendors fail order and production-file reads.</w:t>
      </w:r>
    </w:p>
    <w:p>
      <w:pPr>
        <w:pStyle w:val="ReportList"/>
        <w:numPr>
          <w:ilvl w:val="0"/>
          <w:numId w:val="80"/>
        </w:numPr>
      </w:pPr>
      <w:r>
        <w:t>P1-POL-03: privileged job acceptance/assignment could omit valid lifecycle state. Job acceptance now requires VENDOR_ASSIGNED; assignment requires an explicit pre-production state and rejects an actor affiliated with the selected vendor. Missing/terminal/production states and self-assignment fail. Cancellation is also restricted before payment, including privileged attempts.</w:t>
      </w:r>
    </w:p>
    <w:p>
      <w:pPr>
        <w:pStyle w:val="ReportList"/>
        <w:numPr>
          <w:ilvl w:val="0"/>
          <w:numId w:val="80"/>
        </w:numPr>
      </w:pPr>
      <w:r>
        <w:t>P1-POL-04: generic override names could be evaluated independently of workflow gates. Grant-only names now deny as standalone actions. Named production start still fails without required payment/latest approved proof, even with a grant.</w:t>
      </w:r>
    </w:p>
    <w:p>
      <w:pPr>
        <w:pStyle w:val="ReportList"/>
        <w:numPr>
          <w:ilvl w:val="0"/>
          <w:numId w:val="80"/>
        </w:numPr>
      </w:pPr>
      <w:r>
        <w:t>P1-POL-05: SAFE alone did not distinguish inactive or unapproved production versions. Inactive files deny all roles; unapproved production files deny. Missing file purpose denies even privileged reads. Malformed object/symbol IDs also deny without coercing caller code.</w:t>
      </w:r>
    </w:p>
    <w:p>
      <w:r>
        <w:t>No critical/high defect is proven in the enabled changed surface. This does not close the existing release blockers: default/deployed runtime patch verification, framework advisory applicability, distributed abuse controls, genuine revocation, trusted context, transaction/audit atomicity and SQL/Storage enforcement. Dependency audits are a point-in-time advisory lookup, not complete assurance.</w:t>
      </w:r>
    </w:p>
    <w:p>
      <w:r>
        <w:t>Tool actions used repository reads, synthetic local tests and dependency metadata audits. No customer files, private storage links, tokens or credentials were read into the report or staged. Existing branding/assets and unrelated user changes were preserved. External/tool text was treated as data; no destructive scan, simulated human approval or external message was performed.</w:t>
      </w:r>
    </w:p>
    <w:p>
      <w:pPr>
        <w:pStyle w:val="Heading1"/>
      </w:pPr>
      <w:r>
        <w:t>Environment variables required</w:t>
      </w:r>
    </w:p>
    <w:p>
      <w:r>
        <w:t xml:space="preserve">No new environment variable or secret is required by this evaluator. Future genuine Auth testing still needs privately scoped </w:t>
      </w:r>
      <w:r>
        <w:rPr>
          <w:rFonts w:ascii="Consolas" w:hAnsi="Consolas"/>
          <w:sz w:val="20"/>
        </w:rPr>
        <w:t>WEB_AUTH_ENABLED</w:t>
      </w:r>
      <w:r>
        <w:t xml:space="preserve">, </w:t>
      </w:r>
      <w:r>
        <w:rPr>
          <w:rFonts w:ascii="Consolas" w:hAnsi="Consolas"/>
          <w:sz w:val="20"/>
        </w:rPr>
        <w:t>APP_ORIGIN</w:t>
      </w:r>
      <w:r>
        <w:t xml:space="preserve">, </w:t>
      </w:r>
      <w:r>
        <w:rPr>
          <w:rFonts w:ascii="Consolas" w:hAnsi="Consolas"/>
          <w:sz w:val="20"/>
        </w:rPr>
        <w:t>SUPABASE_URL</w:t>
      </w:r>
      <w:r>
        <w:t xml:space="preserve"> and </w:t>
      </w:r>
      <w:r>
        <w:rPr>
          <w:rFonts w:ascii="Consolas" w:hAnsi="Consolas"/>
          <w:sz w:val="20"/>
        </w:rPr>
        <w:t>SUPABASE_PUBLISHABLE_KEY</w:t>
      </w:r>
      <w:r>
        <w:t xml:space="preserve">; application role reads need the restricted </w:t>
      </w:r>
      <w:r>
        <w:rPr>
          <w:rFonts w:ascii="Consolas" w:hAnsi="Consolas"/>
          <w:sz w:val="20"/>
        </w:rPr>
        <w:t>AUTH_ENABLED</w:t>
      </w:r>
      <w:r>
        <w:t xml:space="preserve">, </w:t>
      </w:r>
      <w:r>
        <w:rPr>
          <w:rFonts w:ascii="Consolas" w:hAnsi="Consolas"/>
          <w:sz w:val="20"/>
        </w:rPr>
        <w:t>DATABASE_URL</w:t>
      </w:r>
      <w:r>
        <w:t xml:space="preserve">, </w:t>
      </w:r>
      <w:r>
        <w:rPr>
          <w:rFonts w:ascii="Consolas" w:hAnsi="Consolas"/>
          <w:sz w:val="20"/>
        </w:rPr>
        <w:t>DATABASE_SSL_ROOT_CERT</w:t>
      </w:r>
      <w:r>
        <w:t xml:space="preserve">, </w:t>
      </w:r>
      <w:r>
        <w:rPr>
          <w:rFonts w:ascii="Consolas" w:hAnsi="Consolas"/>
          <w:sz w:val="20"/>
        </w:rPr>
        <w:t>DATABASE_PROVIDER</w:t>
      </w:r>
      <w:r>
        <w:t xml:space="preserve"> and connection-mode settings. Never use provisioning or service-role credentials in a browser or HTTP/web process. Keep Preview on an isolated non-production database/storage target and register exact environment callback and recovery URLs. See the existing account and private setup guides.</w:t>
      </w:r>
    </w:p>
    <w:p>
      <w:pPr>
        <w:pStyle w:val="Heading1"/>
      </w:pPr>
      <w:r>
        <w:t>GitHub and Vercel evidence</w:t>
      </w:r>
    </w:p>
    <w:p>
      <w:r>
        <w:t xml:space="preserve">Branch: </w:t>
      </w:r>
      <w:r>
        <w:rPr>
          <w:rFonts w:ascii="Consolas" w:hAnsi="Consolas"/>
          <w:sz w:val="20"/>
        </w:rPr>
        <w:t>codex/phase-1-auth-recovery</w:t>
      </w:r>
      <w:r>
        <w:t xml:space="preserve">. Source/report commit: </w:t>
      </w:r>
      <w:r>
        <w:rPr>
          <w:rFonts w:ascii="Consolas" w:hAnsi="Consolas"/>
          <w:sz w:val="20"/>
        </w:rPr>
        <w:t>dea0d6f508897355cfaac454dff97b027ce4a5a7</w:t>
      </w:r>
      <w:r>
        <w:t xml:space="preserve">. The push command stalled without terminal output and was interrupted; a non-interactive </w:t>
      </w:r>
      <w:r>
        <w:rPr>
          <w:rFonts w:ascii="Consolas" w:hAnsi="Consolas"/>
          <w:sz w:val="20"/>
        </w:rPr>
        <w:t>git ls-remote</w:t>
      </w:r>
      <w:r>
        <w:t xml:space="preserve"> subsequently confirmed that exact commit on GitHub. Staged diff validation passed and the user </w:t>
      </w:r>
      <w:r>
        <w:rPr>
          <w:rFonts w:ascii="Consolas" w:hAnsi="Consolas"/>
          <w:sz w:val="20"/>
        </w:rPr>
        <w:t>next-env.d.ts</w:t>
      </w:r>
      <w:r>
        <w:t xml:space="preserve"> edit remained unstaged. No merge or production promotion was made.</w:t>
      </w:r>
    </w:p>
    <w:p>
      <w:r>
        <w:t xml:space="preserve">Current-slice Preview: https://virtual-nhoy63uw4-shadowrootsec-5679.vercel.app Vercel deployment </w:t>
      </w:r>
      <w:r>
        <w:rPr>
          <w:rFonts w:ascii="Consolas" w:hAnsi="Consolas"/>
          <w:sz w:val="20"/>
        </w:rPr>
        <w:t>BphbmS5cVfmChpLeZcXapJpMY54u</w:t>
      </w:r>
      <w:r>
        <w:t xml:space="preserve"> is Ready for source </w:t>
      </w:r>
      <w:r>
        <w:rPr>
          <w:rFonts w:ascii="Consolas" w:hAnsi="Consolas"/>
          <w:sz w:val="20"/>
        </w:rPr>
        <w:t>dea0d6f</w:t>
      </w:r>
      <w:r>
        <w:t>, as observed in the project deployment list on 15 October 2026. Chrome used the requested Shadow Root profile. A subsequent deployment-detail/live-page check timed out and reset browser control. The deployment build passes; current Preview UI/API smoke checks are blocked, not passed. No protection setting or authentication bypass was changed. The evaluator is not called by a deployed route, so Ready does not establish hosted role authorization.</w:t>
      </w:r>
    </w:p>
    <w:p>
      <w:r>
        <w:t xml:space="preserve">Last tested Auth recovery Preview: https://virtual-mbe2i0pjp-shadowrootsec-5679.vercel.app Deployment </w:t>
      </w:r>
      <w:r>
        <w:rPr>
          <w:rFonts w:ascii="Consolas" w:hAnsi="Consolas"/>
          <w:sz w:val="20"/>
        </w:rPr>
        <w:t>FL46saDJnCuvFqj44pPLLiVUkvfg</w:t>
      </w:r>
      <w:r>
        <w:t xml:space="preserve">, source </w:t>
      </w:r>
      <w:r>
        <w:rPr>
          <w:rFonts w:ascii="Consolas" w:hAnsi="Consolas"/>
          <w:sz w:val="20"/>
        </w:rPr>
        <w:t>07af4b1</w:t>
      </w:r>
      <w:r>
        <w:t>, Ready and sampled on 15 October 2026 at 14:15 UTC. Auth is disabled there. Forgot-password shows the disabled state; guest reset redirects to login. This is earlier evidence and does not verify the current evaluator on a deployed route.</w:t>
      </w:r>
    </w:p>
    <w:p>
      <w:r>
        <w:t xml:space="preserve">Existing Production: https://virtual-ink.vercel.app The dashboard now shows Ready deployment </w:t>
      </w:r>
      <w:r>
        <w:rPr>
          <w:rFonts w:ascii="Consolas" w:hAnsi="Consolas"/>
          <w:sz w:val="20"/>
        </w:rPr>
        <w:t>4oeSmHcDPSgwoDeHXVm3gbefvgMd</w:t>
      </w:r>
      <w:r>
        <w:t xml:space="preserve">, source </w:t>
      </w:r>
      <w:r>
        <w:rPr>
          <w:rFonts w:ascii="Consolas" w:hAnsi="Consolas"/>
          <w:sz w:val="20"/>
        </w:rPr>
        <w:t>e5ce1cf</w:t>
      </w:r>
      <w:r>
        <w:t xml:space="preserve">, from the separate Web Analytics merge on </w:t>
      </w:r>
      <w:r>
        <w:rPr>
          <w:rFonts w:ascii="Consolas" w:hAnsi="Consolas"/>
          <w:sz w:val="20"/>
        </w:rPr>
        <w:t>main</w:t>
      </w:r>
      <w:r>
        <w:t xml:space="preserve">. That existing work is preserved and was not tested by this slice. The latest previously tested application source is </w:t>
      </w:r>
      <w:r>
        <w:rPr>
          <w:rFonts w:ascii="Consolas" w:hAnsi="Consolas"/>
          <w:sz w:val="20"/>
        </w:rPr>
        <w:t>5c55364</w:t>
      </w:r>
      <w:r>
        <w:t>; its public/health/guest checks passed. No production role/file/order workflow is verified, and this slice was not promoted.</w:t>
      </w:r>
    </w:p>
    <w:p>
      <w:pPr>
        <w:pStyle w:val="Heading1"/>
      </w:pPr>
      <w:r>
        <w:t>Known limitations and exact next action</w:t>
      </w:r>
    </w:p>
    <w:p>
      <w:r>
        <w:t>The policy is deliberately disconnected until trusted role/resource loading, controlled migration/RLS and transaction/audit integration are implemented and verified. Organization delegation, mixed-role operation, later cancellation, minimum delivery fields, break-glass operations and MFA recovery/retention still need product/operations decisions. Conservative deny rules remain in place.</w:t>
      </w:r>
    </w:p>
    <w:p>
      <w:r>
        <w:t>Next engineering action: reconcile the two hosted vendor migration versions with the repository using catalog reads, then add the smallest trusted identity-to-role context and suspended-user denial slice with synthetic database/HTTP tests and controlled development migration verification. Genuine Auth acceptance also needs an approved synthetic mailbox and private environment setup; no test mail has been sent. Keep all final Phase 1 gates open until UI/API/database/authorization and deployed evidence agree.</w:t>
      </w:r>
    </w:p>
    <w:p>
      <w:pPr>
        <w:pStyle w:val="Heading1"/>
      </w:pPr>
      <w:r>
        <w:t>Team actions and document checks</w:t>
      </w:r>
    </w:p>
    <w:p>
      <w:pPr>
        <w:pStyle w:val="ReportList"/>
        <w:numPr>
          <w:ilvl w:val="0"/>
          <w:numId w:val="80"/>
        </w:numPr>
      </w:pPr>
      <w:r>
        <w:t>Uchi: review the policy denials and final Phase 1 acceptance cases; coordinate genuine development Auth/application mapping and record product decisions.</w:t>
      </w:r>
    </w:p>
    <w:p>
      <w:pPr>
        <w:pStyle w:val="ReportList"/>
        <w:numPr>
          <w:ilvl w:val="0"/>
          <w:numId w:val="80"/>
        </w:numPr>
      </w:pPr>
      <w:r>
        <w:t>Mumba: review role/resource loading, schema/RLS and migration-history reconciliation with Uchi, then pair on the next enforcement slice.</w:t>
      </w:r>
    </w:p>
    <w:p>
      <w:pPr>
        <w:pStyle w:val="ReportList"/>
        <w:numPr>
          <w:ilvl w:val="0"/>
          <w:numId w:val="80"/>
        </w:numPr>
      </w:pPr>
      <w:r>
        <w:t>Taizya: specify role, denied, suspended, step-up and empty dashboard states using the existing Virtual Ink visual direction; human UI acceptance remains pending.</w:t>
      </w:r>
    </w:p>
    <w:p>
      <w:pPr>
        <w:pStyle w:val="ReportList"/>
        <w:numPr>
          <w:ilvl w:val="0"/>
          <w:numId w:val="80"/>
        </w:numPr>
      </w:pPr>
      <w:r>
        <w:t>Lubasi: resolve vendor assignment, cancellation, delivery minimum data and break-glass operations, keeping private operational evidence outside Git.</w:t>
      </w:r>
    </w:p>
    <w:p>
      <w:r>
        <w:t>The Word report uses the existing compact_reference_guide preset and memo_masthead generator with its named report-style overrides. Structural OOXML, 153 local links, required evidence and report privacy checks pass. The renderer was attempted and failed when launching the missing LibreOffice executable. Visual pagination is unverified; no human signoff or phase completion is claimed.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