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MFA and privileged-role security</w:t>
      </w:r>
    </w:p>
    <w:p>
      <w:r>
        <w:t xml:space="preserve">Date: 16 October 2026. Owners: Uchi Chinyama and Mumba Chitonge. Overall status: </w:t>
      </w:r>
      <w:r>
        <w:rPr>
          <w:b/>
        </w:rPr>
        <w:t>PARTIAL. These controls are not COMPLETE.</w:t>
      </w:r>
    </w:p>
    <w:p>
      <w:pPr>
        <w:pStyle w:val="Heading1"/>
      </w:pPr>
      <w:r>
        <w:t>1. Overall status and inspection</w:t>
      </w:r>
    </w:p>
    <w:p>
      <w:r>
        <w:t>The pre-edit inspection is preserved in the matching MFA privileged gap report. It identified Supabase Auth, existing server cookie/PKCE paths, legacy private roles and an unapplied eight-role assignment foundation. There was no genuine MFA enrollment/challenge interface or runtime privileged writer. Synthetic AAL2 fixtures and pure policy inputs were not accepted as provider evidence. No mfaEnabled/mfa_enabled authorization switch was found in application source.</w:t>
      </w:r>
    </w:p>
    <w:p>
      <w:r>
        <w:t>This review implements provider-backed MFA routes/UI and a restricted role-write boundary with local evidence. It does not establish genuine provider acceptance, isolated Preview verification or human approval. No hosted SQL/Auth/role mutation or production enablement is performed. No escrow, blockchain, payment execution or additional marketplace feature is implemented. The existing user next-env edit and supplied assets are preserved. Zero of seventeen final Phase 1 mission groups is fully accepted; Phase 1 remains PARTIAL.</w:t>
      </w:r>
    </w:p>
    <w:p>
      <w:pPr>
        <w:pStyle w:val="Heading1"/>
      </w:pPr>
      <w:r>
        <w:t>2. MFA implementation evidence</w:t>
      </w:r>
    </w:p>
    <w:p>
      <w:r>
        <w:t>Primary login leads administrators to the server-checked security screen. It loads actual provider factors and assurance and prompts enrollment if no verified TOTP exists. Server-only Supabase SDK calls enroll, challenge and verify the factor. The QR is held in component memory, with no localStorage/sessionStorage or application secret table. Only the QR data is returned for enrollment; the separate secret/URI and access/refresh tokens are never response fields. The QR necessarily contains the enrollment secret. Successful verification establishes the SDK's higher-assurance session through HttpOnly Secure SameSite=Lax cookies. Failed provider/audit operations do not commit pending cookies.</w:t>
      </w:r>
    </w:p>
    <w:p>
      <w:r>
        <w:t>Every request verifies the user online and the same token's claims. Critical actions also check live provider session/account/factor/AMR facts and matching recent password/TOTP times in the database. The conservative window is five minutes. Fresh role reads and server checks remain authoritative even if the browser displays an old role or assurance label. Administrator password changes use this boundary; ordinary account recovery gains no administrative authority.</w:t>
      </w:r>
    </w:p>
    <w:p>
      <w:r>
        <w:t>Durable account/operation attempt counters precede provider work. Enrollment, verification and reauthentication allow five attempts per fixed five-minute bucket; other MFA operations allow ten. Provider limits remain separate. HMAC fingerprints block code reuse across challenges/sessions for five minutes without storing the code. Redacted attempt/result/failure records and in-app alerts cover repeated failures and suspicious factor changes. Raw SDK/SQL errors, passwords, codes and tokens are not logged by these paths. No external alert delivery is configured or claimed.</w:t>
      </w:r>
    </w:p>
    <w:p>
      <w:r>
        <w:t>Discarding an unfinished unverified factor requires recent primary login; removing a verified factor requires recent MFA and another verified factor. The last verified factor cannot be disabled by the application. Recovery requests require two distinct current SUPER_ADMIN approvals and private identity review. Provider operator execution and its audit correlation remain unverified. Recovery codes are not offered by the application; no insecure substitute was added. Additional verified-factor enrollment is not exposed by this review flow.</w:t>
      </w:r>
    </w:p>
    <w:p>
      <w:r>
        <w:t>The installed real SDK is tested with synthetic HTTP, including QR/challenge/ verification, AAL1-to-AAL2 claims, cookies and provider rejection propagation. This is not genuine enrollment or proof that the deployed provider rejects every invalid, expired or replayed code. Provider-managed secret encryption and effective Auth policy must be confirmed privately on the isolated target; no assertion, boolean or secret-table inspection substitutes for that evidence.</w:t>
      </w:r>
    </w:p>
    <w:p>
      <w:pPr>
        <w:pStyle w:val="Heading1"/>
      </w:pPr>
      <w:r>
        <w:t>3. Privileged-role write path</w:t>
      </w:r>
    </w:p>
    <w:p>
      <w:r>
        <w:t>The original ADMIN/SUPER_ADMIN names are reused. Four distinct specialist roles are added: SECURITY_ADMIN, FINANCE_ADMIN, DISPUTE_REVIEWER and PAYOUT_APPROVER. They receive no unrelated order/file authority from their names.</w:t>
      </w:r>
    </w:p>
    <w:p>
      <w:r>
        <w:t>The browser sends target, expected assignment, requested role, reason and optional expiry to server-only routes. It never supplies actor identity or actor authority. A current SUPER_ADMIN requests the change; a different current SUPER_ADMIN, distinct from the target, approves it; requester or approver executes within fifteen minutes. All stages require recent provider MFA and recheck live authority. Customers/vendors cannot promote themselves, ADMIN cannot grant SUPER_ADMIN, and all self changes deny. The last active SUPER_ADMIN is protected. No admin is seeded and no approval is simulated. The separated workflow needs enough distinct administrators for SUPER_ADMIN changes; private bootstrap/recovery remains open.</w:t>
      </w:r>
    </w:p>
    <w:p>
      <w:r>
        <w:t>One active assignment per user remains. Granting replaces the reviewed assignment; removal restores CUSTOMER. Optional expiry is immutable and limited to thirty days. SUPER_ADMIN cannot expire automatically. Expired assignments cease to authorize the next action even with an unexpired token.</w:t>
      </w:r>
    </w:p>
    <w:p>
      <w:r>
        <w:t>The private command serializes decisions with a transaction advisory lock, requires READ COMMITTED, checks expected assignment/current actors and performs assignment revocation, new grant, mandatory transaction audits and deletion of affected provider sessions atomically. Failure rolls those mutations back and records a failure event. A fresh synthetic target session loses access immediately after actual SQL role removal; no stale JWT role is accepted.</w:t>
      </w:r>
    </w:p>
    <w:p>
      <w:r>
        <w:t>The restricted UI shows identity, current assignment/expiry, requested change, reason, risk/step-up text, explicit confirmation, separated approval/execution, result and audit references. SUPER_ADMIN is not the default selection. Sensitive security events require fresh assurance. Browser interaction/manual acceptance is still pending; React SSR checks are not that acceptance.</w:t>
      </w:r>
    </w:p>
    <w:p>
      <w:pPr>
        <w:pStyle w:val="Heading1"/>
      </w:pPr>
      <w:r>
        <w:t>4. Database policies and migrations</w:t>
      </w:r>
    </w:p>
    <w:p>
      <w:r>
        <w:t xml:space="preserve">CLI-generated migration 20261016053031_virtual_ink_privileged_security.sql combines database/phase1/security.sql and its separate security-supabase.sql adapter. SHA-256: </w:t>
      </w:r>
      <w:r>
        <w:rPr>
          <w:rFonts w:ascii="Consolas" w:hAnsi="Consolas"/>
          <w:sz w:val="20"/>
        </w:rPr>
        <w:t>30e582457e6502c7e79bc9fab25f912e6136015bd286e4ddbb2b2795a593a78b</w:t>
      </w:r>
      <w:r>
        <w:t>. The previous eleven migration files are unchanged. There are twelve local migrations; the visible hosted project remains at ten. Both Phase 1 migrations remain unapplied there.</w:t>
      </w:r>
    </w:p>
    <w:p>
      <w:r>
        <w:t>At 07:41 UTC, read-only hosted catalog checks confirm ten migrations and neither new schema. Security advisors retain one existing RLS-without-policy INFO on an intentionally closed audit table, not a new finding from the unapplied schema.</w:t>
      </w:r>
    </w:p>
    <w:p>
      <w:r>
        <w:t>The private security service group has EXECUTE on the command, no table DML and no function-owner membership. Its separate function owner is NOLOGIN/NOBYPASSRLS and non-superuser, with narrow business/provider column rights and forced-RLS policies. Existing API, provisioner, vendor, anon, authenticated and service_role groups receive no new security access, including permissive creator defaults. Events reject UPDATE/DELETE/TRUNCATE and are append-only for application/admin roles. Migration owners remain trusted administrators.</w:t>
      </w:r>
    </w:p>
    <w:p>
      <w:r>
        <w:t>The database marker starts disabled/unconfigured. No LOGIN, password, seed account or elevated browser credential is created. Runtime startup rejects unsafe logins, owner membership, mismatched issuer/environment and shared/Production enablement. Preview requires a separate project, matching independent project binding and CA. The provider-specific session reads/deletes stay separate from portable business rules. The disposable Auth-shaped SQL fixture is never a hosted migration.</w:t>
      </w:r>
    </w:p>
    <w:p>
      <w:pPr>
        <w:pStyle w:val="Heading1"/>
      </w:pPr>
      <w:r>
        <w:t>5. Files changed</w:t>
      </w:r>
    </w:p>
    <w:p>
      <w:pPr>
        <w:pStyle w:val="ReportList"/>
        <w:numPr>
          <w:ilvl w:val="0"/>
          <w:numId w:val="80"/>
        </w:numPr>
      </w:pPr>
      <w:r>
        <w:t>Core: src/backend/identity/security-admin.ts, assigned-context.ts, permissions/phase1.ts and api/errors.ts.</w:t>
      </w:r>
    </w:p>
    <w:p>
      <w:pPr>
        <w:pStyle w:val="ReportList"/>
        <w:numPr>
          <w:ilvl w:val="0"/>
          <w:numId w:val="80"/>
        </w:numPr>
      </w:pPr>
      <w:r>
        <w:t>Web: apps/web/src/lib/security-admin.ts, components/security-admin-panel.tsx, app/admin/security/page.tsx, app/api/security/[action]/route.ts, app/api/auth/[action]/route.ts, app/account/page.tsx and app/globals.css.</w:t>
      </w:r>
    </w:p>
    <w:p>
      <w:pPr>
        <w:pStyle w:val="ReportList"/>
        <w:numPr>
          <w:ilvl w:val="0"/>
          <w:numId w:val="80"/>
        </w:numPr>
      </w:pPr>
      <w:r>
        <w:t>Database: database/phase1/security.sql, security-supabase.sql, database/tests/security-auth-fixture.sql and the new versioned migration.</w:t>
      </w:r>
    </w:p>
    <w:p>
      <w:pPr>
        <w:pStyle w:val="ReportList"/>
        <w:numPr>
          <w:ilvl w:val="0"/>
          <w:numId w:val="80"/>
        </w:numPr>
      </w:pPr>
      <w:r>
        <w:t>Checks: test/security-admin.test.ts, phase1-permissions.test.ts, scripts/privileged-security-db-check.mjs, security-artifact-check.mjs, security-preview-check.mjs, web-auth-checks.mjs, web-ui-checks.mjs and package.json's security subset.</w:t>
      </w:r>
    </w:p>
    <w:p>
      <w:pPr>
        <w:pStyle w:val="ReportList"/>
        <w:numPr>
          <w:ilvl w:val="0"/>
          <w:numId w:val="80"/>
        </w:numPr>
      </w:pPr>
      <w:r>
        <w:t>Handover: AGENTS.md, README.md, setup/security/permission/checklist/task-board/ decision/current-report docs, phase-1-security-admin.md, the disabled environment example and matching inspection/implementation Markdown and Word reports.</w:t>
      </w:r>
    </w:p>
    <w:p>
      <w:r>
        <w:t>The existing apps/web/next-env.d.ts edit remains unstaged. No dependency/lockfile, supplied asset or unrelated feature was changed. Private local verification helpers and ephemeral credentials are ignored and are not delivery artifacts.</w:t>
      </w:r>
    </w:p>
    <w:p>
      <w:pPr>
        <w:pStyle w:val="Heading1"/>
      </w:pPr>
      <w:r>
        <w:t>6. Tests executed and actual results</w:t>
      </w:r>
    </w:p>
    <w:p>
      <w:r>
        <w:t>Final coverage at 07:32 UTC, 16 October 2026; private reviewed Node 24.21.0.</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Actual result</w:t>
            </w:r>
          </w:p>
        </w:tc>
      </w:tr>
      <w:tr>
        <w:trPr>
          <w:cantSplit/>
        </w:trPr>
        <w:tc>
          <w:tcPr>
            <w:tcW w:type="dxa" w:w="3300"/>
            <w:vAlign w:val="center"/>
          </w:tcPr>
          <w:p>
            <w:pPr>
              <w:pStyle w:val="ReportTableText"/>
            </w:pPr>
            <w:r>
              <w:t>Complete root suite</w:t>
            </w:r>
          </w:p>
        </w:tc>
        <w:tc>
          <w:tcPr>
            <w:tcW w:type="dxa" w:w="6060"/>
            <w:vAlign w:val="center"/>
          </w:tcPr>
          <w:p>
            <w:pPr>
              <w:pStyle w:val="ReportTableText"/>
            </w:pPr>
            <w:r>
              <w:t>197 pass; zero failed/skipped</w:t>
            </w:r>
          </w:p>
        </w:tc>
      </w:tr>
      <w:tr>
        <w:trPr>
          <w:cantSplit/>
        </w:trPr>
        <w:tc>
          <w:tcPr>
            <w:tcW w:type="dxa" w:w="3300"/>
            <w:vAlign w:val="center"/>
          </w:tcPr>
          <w:p>
            <w:pPr>
              <w:pStyle w:val="ReportTableText"/>
            </w:pPr>
            <w:r>
              <w:t>Security subset</w:t>
            </w:r>
          </w:p>
        </w:tc>
        <w:tc>
          <w:tcPr>
            <w:tcW w:type="dxa" w:w="6060"/>
            <w:vAlign w:val="center"/>
          </w:tcPr>
          <w:p>
            <w:pPr>
              <w:pStyle w:val="ReportTableText"/>
            </w:pPr>
            <w:r>
              <w:t>186 pass</w:t>
            </w:r>
          </w:p>
        </w:tc>
      </w:tr>
      <w:tr>
        <w:trPr>
          <w:cantSplit/>
        </w:trPr>
        <w:tc>
          <w:tcPr>
            <w:tcW w:type="dxa" w:w="3300"/>
            <w:vAlign w:val="center"/>
          </w:tcPr>
          <w:p>
            <w:pPr>
              <w:pStyle w:val="ReportTableText"/>
            </w:pPr>
            <w:r>
              <w:t>New core/controller groups</w:t>
            </w:r>
          </w:p>
        </w:tc>
        <w:tc>
          <w:tcPr>
            <w:tcW w:type="dxa" w:w="6060"/>
            <w:vAlign w:val="center"/>
          </w:tcPr>
          <w:p>
            <w:pPr>
              <w:pStyle w:val="ReportTableText"/>
            </w:pPr>
            <w:r>
              <w:t>Six pass; claim binding, environment isolation, input/authority denial, MFA/audit ordering and safe errors</w:t>
            </w:r>
          </w:p>
        </w:tc>
      </w:tr>
      <w:tr>
        <w:trPr>
          <w:cantSplit/>
        </w:trPr>
        <w:tc>
          <w:tcPr>
            <w:tcW w:type="dxa" w:w="3300"/>
            <w:vAlign w:val="center"/>
          </w:tcPr>
          <w:p>
            <w:pPr>
              <w:pStyle w:val="ReportTableText"/>
            </w:pPr>
            <w:r>
              <w:t>React/mesh SSR</w:t>
            </w:r>
          </w:p>
        </w:tc>
        <w:tc>
          <w:tcPr>
            <w:tcW w:type="dxa" w:w="6060"/>
            <w:vAlign w:val="center"/>
          </w:tcPr>
          <w:p>
            <w:pPr>
              <w:pStyle w:val="ReportTableText"/>
            </w:pPr>
            <w:r>
              <w:t>Ten pass; includes restricted security panel</w:t>
            </w:r>
          </w:p>
        </w:tc>
      </w:tr>
      <w:tr>
        <w:trPr>
          <w:cantSplit/>
        </w:trPr>
        <w:tc>
          <w:tcPr>
            <w:tcW w:type="dxa" w:w="3300"/>
            <w:vAlign w:val="center"/>
          </w:tcPr>
          <w:p>
            <w:pPr>
              <w:pStyle w:val="ReportTableText"/>
            </w:pPr>
            <w:r>
              <w:t>Real SDK/Next with synthetic HTTP</w:t>
            </w:r>
          </w:p>
        </w:tc>
        <w:tc>
          <w:tcPr>
            <w:tcW w:type="dxa" w:w="6060"/>
            <w:vAlign w:val="center"/>
          </w:tcPr>
          <w:p>
            <w:pPr>
              <w:pStyle w:val="ReportTableText"/>
            </w:pPr>
            <w:r>
              <w:t>Sixteen pass; includes TOTP and shared-provider rejection</w:t>
            </w:r>
          </w:p>
        </w:tc>
      </w:tr>
      <w:tr>
        <w:trPr>
          <w:cantSplit/>
        </w:trPr>
        <w:tc>
          <w:tcPr>
            <w:tcW w:type="dxa" w:w="3300"/>
            <w:vAlign w:val="center"/>
          </w:tcPr>
          <w:p>
            <w:pPr>
              <w:pStyle w:val="ReportTableText"/>
            </w:pPr>
            <w:r>
              <w:t>Web and strict backend/shared types</w:t>
            </w:r>
          </w:p>
        </w:tc>
        <w:tc>
          <w:tcPr>
            <w:tcW w:type="dxa" w:w="6060"/>
            <w:vAlign w:val="center"/>
          </w:tcPr>
          <w:p>
            <w:pPr>
              <w:pStyle w:val="ReportTableText"/>
            </w:pPr>
            <w:r>
              <w:t>Pass</w:t>
            </w:r>
          </w:p>
        </w:tc>
      </w:tr>
      <w:tr>
        <w:trPr>
          <w:cantSplit/>
        </w:trPr>
        <w:tc>
          <w:tcPr>
            <w:tcW w:type="dxa" w:w="3300"/>
            <w:vAlign w:val="center"/>
          </w:tcPr>
          <w:p>
            <w:pPr>
              <w:pStyle w:val="ReportTableText"/>
            </w:pPr>
            <w:r>
              <w:t>Production-format local build</w:t>
            </w:r>
          </w:p>
        </w:tc>
        <w:tc>
          <w:tcPr>
            <w:tcW w:type="dxa" w:w="6060"/>
            <w:vAlign w:val="center"/>
          </w:tcPr>
          <w:p>
            <w:pPr>
              <w:pStyle w:val="ReportTableText"/>
            </w:pPr>
            <w:r>
              <w:t>Pass; sixteen static pages, dynamic security routes included</w:t>
            </w:r>
          </w:p>
        </w:tc>
      </w:tr>
      <w:tr>
        <w:trPr>
          <w:cantSplit/>
        </w:trPr>
        <w:tc>
          <w:tcPr>
            <w:tcW w:type="dxa" w:w="3300"/>
            <w:vAlign w:val="center"/>
          </w:tcPr>
          <w:p>
            <w:pPr>
              <w:pStyle w:val="ReportTableText"/>
            </w:pPr>
            <w:r>
              <w:t>Coverage inventory</w:t>
            </w:r>
          </w:p>
        </w:tc>
        <w:tc>
          <w:tcPr>
            <w:tcW w:type="dxa" w:w="6060"/>
            <w:vAlign w:val="center"/>
          </w:tcPr>
          <w:p>
            <w:pPr>
              <w:pStyle w:val="ReportTableText"/>
            </w:pPr>
            <w:r>
              <w:t>All 38 backend/shared files measured; 95% line/branch/function gate passes</w:t>
            </w:r>
          </w:p>
        </w:tc>
      </w:tr>
      <w:tr>
        <w:trPr>
          <w:cantSplit/>
        </w:trPr>
        <w:tc>
          <w:tcPr>
            <w:tcW w:type="dxa" w:w="3300"/>
            <w:vAlign w:val="center"/>
          </w:tcPr>
          <w:p>
            <w:pPr>
              <w:pStyle w:val="ReportTableText"/>
            </w:pPr>
            <w:r>
              <w:t>Lines</w:t>
            </w:r>
          </w:p>
        </w:tc>
        <w:tc>
          <w:tcPr>
            <w:tcW w:type="dxa" w:w="6060"/>
            <w:vAlign w:val="center"/>
          </w:tcPr>
          <w:p>
            <w:pPr>
              <w:pStyle w:val="ReportTableText"/>
            </w:pPr>
            <w:r>
              <w:t>2056/2070 = 99.3237%</w:t>
            </w:r>
          </w:p>
        </w:tc>
      </w:tr>
      <w:tr>
        <w:trPr>
          <w:cantSplit/>
        </w:trPr>
        <w:tc>
          <w:tcPr>
            <w:tcW w:type="dxa" w:w="3300"/>
            <w:vAlign w:val="center"/>
          </w:tcPr>
          <w:p>
            <w:pPr>
              <w:pStyle w:val="ReportTableText"/>
            </w:pPr>
            <w:r>
              <w:t>Branches</w:t>
            </w:r>
          </w:p>
        </w:tc>
        <w:tc>
          <w:tcPr>
            <w:tcW w:type="dxa" w:w="6060"/>
            <w:vAlign w:val="center"/>
          </w:tcPr>
          <w:p>
            <w:pPr>
              <w:pStyle w:val="ReportTableText"/>
            </w:pPr>
            <w:r>
              <w:t>1469/1519 = 96.7084%</w:t>
            </w:r>
          </w:p>
        </w:tc>
      </w:tr>
      <w:tr>
        <w:trPr>
          <w:cantSplit/>
        </w:trPr>
        <w:tc>
          <w:tcPr>
            <w:tcW w:type="dxa" w:w="3300"/>
            <w:vAlign w:val="center"/>
          </w:tcPr>
          <w:p>
            <w:pPr>
              <w:pStyle w:val="ReportTableText"/>
            </w:pPr>
            <w:r>
              <w:t>Functions</w:t>
            </w:r>
          </w:p>
        </w:tc>
        <w:tc>
          <w:tcPr>
            <w:tcW w:type="dxa" w:w="6060"/>
            <w:vAlign w:val="center"/>
          </w:tcPr>
          <w:p>
            <w:pPr>
              <w:pStyle w:val="ReportTableText"/>
            </w:pPr>
            <w:r>
              <w:t>187/190 = 98.4211%</w:t>
            </w:r>
          </w:p>
        </w:tc>
      </w:tr>
      <w:tr>
        <w:trPr>
          <w:cantSplit/>
        </w:trPr>
        <w:tc>
          <w:tcPr>
            <w:tcW w:type="dxa" w:w="3300"/>
            <w:vAlign w:val="center"/>
          </w:tcPr>
          <w:p>
            <w:pPr>
              <w:pStyle w:val="ReportTableText"/>
            </w:pPr>
            <w:r>
              <w:t>PostgreSQL 18 replay</w:t>
            </w:r>
          </w:p>
        </w:tc>
        <w:tc>
          <w:tcPr>
            <w:tcW w:type="dxa" w:w="6060"/>
            <w:vAlign w:val="center"/>
          </w:tcPr>
          <w:p>
            <w:pPr>
              <w:pStyle w:val="ReportTableText"/>
            </w:pPr>
            <w:r>
              <w:t>All twelve migrations and six existing SQL suites pass</w:t>
            </w:r>
          </w:p>
        </w:tc>
      </w:tr>
      <w:tr>
        <w:trPr>
          <w:cantSplit/>
        </w:trPr>
        <w:tc>
          <w:tcPr>
            <w:tcW w:type="dxa" w:w="3300"/>
            <w:vAlign w:val="center"/>
          </w:tcPr>
          <w:p>
            <w:pPr>
              <w:pStyle w:val="ReportTableText"/>
            </w:pPr>
            <w:r>
              <w:t>Actual private command probe</w:t>
            </w:r>
          </w:p>
        </w:tc>
        <w:tc>
          <w:tcPr>
            <w:tcW w:type="dxa" w:w="6060"/>
            <w:vAlign w:val="center"/>
          </w:tcPr>
          <w:p>
            <w:pPr>
              <w:pStyle w:val="ReportTableText"/>
            </w:pPr>
            <w:r>
              <w:t>76 counted security checks plus supporting assertions pass</w:t>
            </w:r>
          </w:p>
        </w:tc>
      </w:tr>
      <w:tr>
        <w:trPr>
          <w:cantSplit/>
        </w:trPr>
        <w:tc>
          <w:tcPr>
            <w:tcW w:type="dxa" w:w="3300"/>
            <w:vAlign w:val="center"/>
          </w:tcPr>
          <w:p>
            <w:pPr>
              <w:pStyle w:val="ReportTableText"/>
            </w:pPr>
            <w:r>
              <w:t>SQL lifecycle/denial evidence</w:t>
            </w:r>
          </w:p>
        </w:tc>
        <w:tc>
          <w:tcPr>
            <w:tcW w:type="dxa" w:w="6060"/>
            <w:vAlign w:val="center"/>
          </w:tcPr>
          <w:p>
            <w:pPr>
              <w:pStyle w:val="ReportTableText"/>
            </w:pPr>
            <w:r>
              <w:t>Dual approval, customer/vendor/ADMIN/self denial, last-super protection, expiry, missing reason, stale assignment, removal/session invalidation, atomic failure rollback, audit append-only, replay/budgets and environment/isolation denials pass</w:t>
            </w:r>
          </w:p>
        </w:tc>
      </w:tr>
      <w:tr>
        <w:trPr>
          <w:cantSplit/>
        </w:trPr>
        <w:tc>
          <w:tcPr>
            <w:tcW w:type="dxa" w:w="3300"/>
            <w:vAlign w:val="center"/>
          </w:tcPr>
          <w:p>
            <w:pPr>
              <w:pStyle w:val="ReportTableText"/>
            </w:pPr>
            <w:r>
              <w:t>Concurrency scope</w:t>
            </w:r>
          </w:p>
        </w:tc>
        <w:tc>
          <w:tcPr>
            <w:tcW w:type="dxa" w:w="6060"/>
            <w:vAlign w:val="center"/>
          </w:tcPr>
          <w:p>
            <w:pPr>
              <w:pStyle w:val="ReportTableText"/>
            </w:pPr>
            <w:r>
              <w:t>Actual advisory-lock contention and non-READ-COMMITTED rejection pass; not a broad load/linearizability certification</w:t>
            </w:r>
          </w:p>
        </w:tc>
      </w:tr>
      <w:tr>
        <w:trPr>
          <w:cantSplit/>
        </w:trPr>
        <w:tc>
          <w:tcPr>
            <w:tcW w:type="dxa" w:w="3300"/>
            <w:vAlign w:val="center"/>
          </w:tcPr>
          <w:p>
            <w:pPr>
              <w:pStyle w:val="ReportTableText"/>
            </w:pPr>
            <w:r>
              <w:t>Fixture cleanup</w:t>
            </w:r>
          </w:p>
        </w:tc>
        <w:tc>
          <w:tcPr>
            <w:tcW w:type="dxa" w:w="6060"/>
            <w:vAlign w:val="center"/>
          </w:tcPr>
          <w:p>
            <w:pPr>
              <w:pStyle w:val="ReportTableText"/>
            </w:pPr>
            <w:r>
              <w:t>Zero users, security events and provider sessions; rollback and local instance stop pass</w:t>
            </w:r>
          </w:p>
        </w:tc>
      </w:tr>
      <w:tr>
        <w:trPr>
          <w:cantSplit/>
        </w:trPr>
        <w:tc>
          <w:tcPr>
            <w:tcW w:type="dxa" w:w="3300"/>
            <w:vAlign w:val="center"/>
          </w:tcPr>
          <w:p>
            <w:pPr>
              <w:pStyle w:val="ReportTableText"/>
            </w:pPr>
            <w:r>
              <w:t>Browser artifacts</w:t>
            </w:r>
          </w:p>
        </w:tc>
        <w:tc>
          <w:tcPr>
            <w:tcW w:type="dxa" w:w="6060"/>
            <w:vAlign w:val="center"/>
          </w:tcPr>
          <w:p>
            <w:pPr>
              <w:pStyle w:val="ReportTableText"/>
            </w:pPr>
            <w:r>
              <w:t>All 53 generated browser text artifacts scanned; zero server-key, privileged-key, database-URL, token or enrollment-secret pattern findings</w:t>
            </w:r>
          </w:p>
        </w:tc>
      </w:tr>
      <w:tr>
        <w:trPr>
          <w:cantSplit/>
        </w:trPr>
        <w:tc>
          <w:tcPr>
            <w:tcW w:type="dxa" w:w="3300"/>
            <w:vAlign w:val="center"/>
          </w:tcPr>
          <w:p>
            <w:pPr>
              <w:pStyle w:val="ReportTableText"/>
            </w:pPr>
            <w:r>
              <w:t>Runtime baseline / repository checks</w:t>
            </w:r>
          </w:p>
        </w:tc>
        <w:tc>
          <w:tcPr>
            <w:tcW w:type="dxa" w:w="6060"/>
            <w:vAlign w:val="center"/>
          </w:tcPr>
          <w:p>
            <w:pPr>
              <w:pStyle w:val="ReportTableText"/>
            </w:pPr>
            <w:r>
              <w:t>Pass</w:t>
            </w:r>
          </w:p>
        </w:tc>
      </w:tr>
      <w:tr>
        <w:trPr>
          <w:cantSplit/>
        </w:trPr>
        <w:tc>
          <w:tcPr>
            <w:tcW w:type="dxa" w:w="3300"/>
            <w:vAlign w:val="center"/>
          </w:tcPr>
          <w:p>
            <w:pPr>
              <w:pStyle w:val="ReportTableText"/>
            </w:pPr>
            <w:r>
              <w:t>Root/web dependency audits</w:t>
            </w:r>
          </w:p>
        </w:tc>
        <w:tc>
          <w:tcPr>
            <w:tcW w:type="dxa" w:w="6060"/>
            <w:vAlign w:val="center"/>
          </w:tcPr>
          <w:p>
            <w:pPr>
              <w:pStyle w:val="ReportTableText"/>
            </w:pPr>
            <w:r>
              <w:t>Both zero known vulnerabilities</w:t>
            </w:r>
          </w:p>
        </w:tc>
      </w:tr>
      <w:tr>
        <w:trPr>
          <w:cantSplit/>
        </w:trPr>
        <w:tc>
          <w:tcPr>
            <w:tcW w:type="dxa" w:w="3300"/>
            <w:vAlign w:val="center"/>
          </w:tcPr>
          <w:p>
            <w:pPr>
              <w:pStyle w:val="ReportTableText"/>
            </w:pPr>
            <w:r>
              <w:t>Vercel source delivery</w:t>
            </w:r>
          </w:p>
        </w:tc>
        <w:tc>
          <w:tcPr>
            <w:tcW w:type="dxa" w:w="6060"/>
            <w:vAlign w:val="center"/>
          </w:tcPr>
          <w:p>
            <w:pPr>
              <w:pStyle w:val="ReportTableText"/>
            </w:pPr>
            <w:r>
              <w:t>Exact source 63d969d is Ready in Preview; Production remains a673637</w:t>
            </w:r>
          </w:p>
        </w:tc>
      </w:tr>
      <w:tr>
        <w:trPr>
          <w:cantSplit/>
        </w:trPr>
        <w:tc>
          <w:tcPr>
            <w:tcW w:type="dxa" w:w="3300"/>
            <w:vAlign w:val="center"/>
          </w:tcPr>
          <w:p>
            <w:pPr>
              <w:pStyle w:val="ReportTableText"/>
            </w:pPr>
            <w:r>
              <w:t>Credential-free Preview probes</w:t>
            </w:r>
          </w:p>
        </w:tc>
        <w:tc>
          <w:tcPr>
            <w:tcW w:type="dxa" w:w="6060"/>
            <w:vAlign w:val="center"/>
          </w:tcPr>
          <w:p>
            <w:pPr>
              <w:pStyle w:val="ReportTableText"/>
            </w:pPr>
            <w:r>
              <w:t>All four BLOCKED by Vercel deployment protection; zero application passes claimed</w:t>
            </w:r>
          </w:p>
        </w:tc>
      </w:tr>
    </w:tbl>
    <w:p>
      <w:pPr>
        <w:spacing w:after="80"/>
      </w:pPr>
    </w:p>
    <w:p>
      <w:r>
        <w:t>Unit coverage excludes SQL, frontend/browser journeys, server lifecycle and genuine hosted integrations. SQL uses provider-shaped local tables and synthetic session facts, not real Auth signatures. SDK tests use the installed SDK but synthetic provider HTTP. No provider security test or human signoff is fabricated. Early failed regression/SQL/type checks were corrected and retested; final required local checks pass. Existing non-fatal SDK malformed-cookie/module/Three warnings remain and do not contain real secrets.</w:t>
      </w:r>
    </w:p>
    <w:p>
      <w:pPr>
        <w:pStyle w:val="Heading1"/>
      </w:pPr>
      <w:r>
        <w:t>7. Failed or incomplete requirements</w:t>
      </w:r>
    </w:p>
    <w:p>
      <w:pPr>
        <w:pStyle w:val="ReportList"/>
        <w:numPr>
          <w:ilvl w:val="0"/>
          <w:numId w:val="80"/>
        </w:numPr>
      </w:pPr>
      <w:r>
        <w:t>Genuine provider registration/sign-in, TOTP QR enrollment/challenge/AAL2 and invalid/expired/replayed-code acceptance remain unverified.</w:t>
      </w:r>
    </w:p>
    <w:p>
      <w:pPr>
        <w:pStyle w:val="ReportList"/>
        <w:numPr>
          <w:ilvl w:val="0"/>
          <w:numId w:val="80"/>
        </w:numPr>
      </w:pPr>
      <w:r>
        <w:t>A confirmed isolated non-production project, approved synthetic identities, restricted runtime credential/CA and reviewed bootstrap are missing. The visible active project has no development branches. No billed resource was created.</w:t>
      </w:r>
    </w:p>
    <w:p>
      <w:pPr>
        <w:pStyle w:val="ReportList"/>
        <w:numPr>
          <w:ilvl w:val="0"/>
          <w:numId w:val="80"/>
        </w:numPr>
      </w:pPr>
      <w:r>
        <w:t>Effective provider MFA secret encryption, timeout/inactivity policy, direct provider factor/logout audit coverage and deployed log redaction are unverified.</w:t>
      </w:r>
    </w:p>
    <w:p>
      <w:pPr>
        <w:pStyle w:val="ReportList"/>
        <w:numPr>
          <w:ilvl w:val="0"/>
          <w:numId w:val="80"/>
        </w:numPr>
      </w:pPr>
      <w:r>
        <w:t>Controlled recovery approval records are implemented; actual private identity review, provider recovery execution, audit correlation and reconciliation of interrupted external operations are not accepted.</w:t>
      </w:r>
    </w:p>
    <w:p>
      <w:pPr>
        <w:pStyle w:val="ReportList"/>
        <w:numPr>
          <w:ilvl w:val="0"/>
          <w:numId w:val="80"/>
        </w:numPr>
      </w:pPr>
      <w:r>
        <w:t>Repeated failure/factor-change alerts exist in the application audit view; external alert delivery and provider-direct event ingestion are not implemented.</w:t>
      </w:r>
    </w:p>
    <w:p>
      <w:pPr>
        <w:pStyle w:val="ReportList"/>
        <w:numPr>
          <w:ilvl w:val="0"/>
          <w:numId w:val="80"/>
        </w:numPr>
      </w:pPr>
      <w:r>
        <w:t>Additional verified-factor enrollment and application recovery codes are not offered. The final factor cannot be disabled through the application.</w:t>
      </w:r>
    </w:p>
    <w:p>
      <w:pPr>
        <w:pStyle w:val="ReportList"/>
        <w:numPr>
          <w:ilvl w:val="0"/>
          <w:numId w:val="80"/>
        </w:numPr>
      </w:pPr>
      <w:r>
        <w:t>Vendor verification, suspension, refunds, releases and payout-account mutations remain unbuilt/unavailable. Their shared guard denies missing assurance, but no claim is made that unbuilt workflows were exercised.</w:t>
      </w:r>
    </w:p>
    <w:p>
      <w:pPr>
        <w:pStyle w:val="ReportList"/>
        <w:numPr>
          <w:ilvl w:val="0"/>
          <w:numId w:val="80"/>
        </w:numPr>
      </w:pPr>
      <w:r>
        <w:t>Full Preview MFA/role interaction, real callback/resource isolation and browser acceptance are pending. Local headers/cookies and artifact checks do not prove hosted runtime logs or provider policy.</w:t>
      </w:r>
    </w:p>
    <w:p>
      <w:pPr>
        <w:pStyle w:val="ReportList"/>
        <w:numPr>
          <w:ilvl w:val="0"/>
          <w:numId w:val="80"/>
        </w:numPr>
      </w:pPr>
      <w:r>
        <w:t>The HIGH Node advisory and human/phase acceptance gates remain open.</w:t>
      </w:r>
    </w:p>
    <w:p>
      <w:pPr>
        <w:pStyle w:val="Heading1"/>
      </w:pPr>
      <w:r>
        <w:t>8. Vercel Preview URL and delivery</w:t>
      </w:r>
    </w:p>
    <w:p>
      <w:r>
        <w:t>Source commit 63d969dd0e5cc975171a40e2bb1fac2723700296 is committed and pushed on codex/phase-1-mfa-privileged-security. Independent remote-ref inspection confirms the source on GitHub. Thirty-eight reviewed files were staged explicitly; the user next-env edit remains unstaged. The final evidence commit also adds the reusable credential-free Preview probe; no application runtime source changes follow the verified source build.</w:t>
      </w:r>
    </w:p>
    <w:p>
      <w:r>
        <w:t>Vercel's read-only deployment API confirms that exact source READY on the review branch with matching gitSource SHA, deployment dpl_33vs5fHmCkGSmGH3rFE6Up5FTzt4: https://virtual-r618zjaoz-shadowrootsec-5679.vercel.app. Production remains a6736376b09ba7c3242495ff86b4bb2eea62f20c, deployment dpl_7f4Kj1XeRy1Mf3MrQiSV9PEs7PWB. This branch is not merged/promoted to main.</w:t>
      </w:r>
    </w:p>
    <w:p>
      <w:r>
        <w:t>At 2026-10-16T07:51:53.708Z all four credential-free probes are BLOCKED by Vercel deployment protection: login/admin/status GETs return 302 to Vercel SSO, and the status POST returns Vercel's 401 SSO JSON. The initial POST classification was corrected after checking fixed provider markers without printing the body. The probe exits 2 for blocked, not success. No application page/denial, callback, MFA, role write, secure-cookie or deployed-log result is claimed from those responses. No protection was disabled, bypass token retrieved or private cookie extracted.</w:t>
      </w:r>
    </w:p>
    <w:p>
      <w:r>
        <w:t>The Preview resource/authentication question remains unanswered. Source delivery is verified; genuine isolated Preview acceptance is not. A Ready source build does not apply either Phase 1 migration or close a security requirement.</w:t>
      </w:r>
    </w:p>
    <w:p>
      <w:pPr>
        <w:pStyle w:val="Heading1"/>
      </w:pPr>
      <w:r>
        <w:t>9. Security findings and review</w:t>
      </w:r>
    </w:p>
    <w:p>
      <w:r>
        <w:t>SEC-PASSWORD-01: the existing password-update path checked a confirmed primary session only. A compromised primary session could attempt an administrator's security-setting change without app-level step-up. Synthetic inspection/tests show that existing behavior; no real account compromise is claimed. With the new boundary enabled, administrator password updates require current password/TOTP assurance and audited outcomes; actual SQL negative tests pass. Provider-direct policy still needs genuine acceptance. Ordinary recovery remains separate.</w:t>
      </w:r>
    </w:p>
    <w:p>
      <w:r>
        <w:t>SEC-ROLE-01: caller-supplied authority, stale role/session facts, self promotion, unaudited writes and stale approvals are prevented by strict inputs, verified identity, fresh DB authority, separate approval, immutable expiry, serialized execution, required transaction audits and immediate session deletion. Actual SQL negative and rollback tests pass. A compromised migration owner or trusted server credential is outside ordinary-user isolation; no browser receives it.</w:t>
      </w:r>
    </w:p>
    <w:p>
      <w:r>
        <w:t>SEC-MFA-01: local counters and HMAC replay reservations prevent repeated provider work and code reuse; provider rejection is propagated without secrets. No local boolean substitutes for MFA. External provider changes and app audit commits are not one transaction: intent/result records support reconciliation, but a crash can leave a pending intent. Provider audit ingestion/recovery acceptance remains open, so this is not complete control coverage.</w:t>
      </w:r>
    </w:p>
    <w:p>
      <w:r>
        <w:t>HIGH-NODE-01 remains open: the [Node security announcement](https://nodejs.org/en/blog/vulnerability/october-2026-security-releases) identifies HIGH-severity fixes for 24.x scheduled for 21 October. A passing fixed baseline or zero npm audit result does not resolve it. Existing security rules block completion/promotion until patch review and retesting. No production sensitive enablement is performed.</w:t>
      </w:r>
    </w:p>
    <w:p>
      <w:r>
        <w:t>Tool review: repository/tool output was treated as untrusted. Only synthetic loopback probes, dependency metadata and reviewed hosted catalog/project reads were used. No real Auth rows/secrets, customer/vendor evidence, private addresses, codes, signed URLs or elevated keys were printed or staged. No external-target scan, live funds, destructive hosted action or simulated human approval occurred. The SQL query's initial UUID type error and a readonly UI type mismatch were corrected; final local replay/type checks pass. These are implementation failures caught locally, not reproduced hosted exploits.</w:t>
      </w:r>
    </w:p>
    <w:p>
      <w:r>
        <w:t>Primary sources reviewed: [Supabase MFA](https://supabase.com/docs/guides/auth/auth-mfa/totp), [rate limits](https://supabase.com/docs/guides/auth/rate-limits), [sessions](https://supabase.com/docs/guides/auth/sessions), [changelog](https://supabase.com/changelog), [Auth AMR generation](https://github.com/supabase/auth/blob/master/internal/models/sessions.go) and [provider encryption implementation](https://github.com/supabase/auth/blob/master/internal/crypto/crypto.go). Source capability is not evidence of the hosted encryption configuration.</w:t>
      </w:r>
    </w:p>
    <w:p>
      <w:pPr>
        <w:pStyle w:val="Heading1"/>
      </w:pPr>
      <w:r>
        <w:t>10. Exact next action and team handover</w:t>
      </w:r>
    </w:p>
    <w:p>
      <w:r>
        <w:t>Uchi and Mumba must identify the isolated non-production project and approved synthetic identities, configure credentials privately and review the first two SUPER_ADMIN bootstrap records. Then follow docs/phase-1-security-admin.md to apply the reviewed migrations on that isolated target, bind the actual Preview origin/ callbacks, and execute genuine TOTP/role/negative/log acceptance. The resource question is pending; elapsed time is not authorization to reuse the shared target. Resolve HIGH-NODE-01 before completion/promotion.</w:t>
      </w:r>
    </w:p>
    <w:p>
      <w:pPr>
        <w:pStyle w:val="ReportList"/>
        <w:numPr>
          <w:ilvl w:val="0"/>
          <w:numId w:val="80"/>
        </w:numPr>
      </w:pPr>
      <w:r>
        <w:t>Uchi: confirm isolated resources, synthetic identity approval, bootstrap and conservative policy choices; retain security and human acceptance gates.</w:t>
      </w:r>
    </w:p>
    <w:p>
      <w:pPr>
        <w:pStyle w:val="ReportList"/>
        <w:numPr>
          <w:ilvl w:val="0"/>
          <w:numId w:val="80"/>
        </w:numPr>
      </w:pPr>
      <w:r>
        <w:t>Mumba: pair on restricted credential/CA setup, genuine provider/Preview tests, audit/recovery reconciliation and runtime patch retesting.</w:t>
      </w:r>
    </w:p>
    <w:p>
      <w:pPr>
        <w:pStyle w:val="ReportList"/>
        <w:numPr>
          <w:ilvl w:val="0"/>
          <w:numId w:val="80"/>
        </w:numPr>
      </w:pPr>
      <w:r>
        <w:t>Taizya: review authenticator, denial, confirmation, removal and recovery states with actual browser interaction; no UX signoff is claimed.</w:t>
      </w:r>
    </w:p>
    <w:p>
      <w:pPr>
        <w:pStyle w:val="ReportList"/>
        <w:numPr>
          <w:ilvl w:val="0"/>
          <w:numId w:val="80"/>
        </w:numPr>
      </w:pPr>
      <w:r>
        <w:t>Lubasi: review identity evidence, separated reviewer/recovery operations and in-app alert response; keep actual evidence outside Git.</w:t>
      </w:r>
    </w:p>
    <w:p>
      <w:r>
        <w:t>Word uses compact_reference_guide with memo_masthead and the existing named report overrides. Both report documents pass structural checks. Rendering was attempted for both and failed because LibreOffice is absent (WinError 2); visual pagination remains unverified. All 226 local links, composed SQL/checksum, required evidence, OOXML and privacy checks pass. Report delivery does not mean human acceptance or production readiness.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