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Phase 1 completion gate handover</w:t>
      </w:r>
    </w:p>
    <w:p>
      <w:r>
        <w:t xml:space="preserve">Date: 18 October 2026. Documentation-only policy/evidence slice. Phase 1 is </w:t>
      </w:r>
      <w:r>
        <w:rPr>
          <w:b/>
        </w:rPr>
        <w:t>INCOMPLETE</w:t>
      </w:r>
      <w:r>
        <w:t xml:space="preserve">. Release decision: </w:t>
      </w:r>
      <w:r>
        <w:rPr>
          <w:b/>
        </w:rPr>
        <w:t>NO-GO</w:t>
      </w:r>
      <w:r>
        <w:t>. No application implementation, clean dependency installation, physical-device test, service verification, deployment, promotion or human acceptance is added by this handover.</w:t>
      </w:r>
    </w:p>
    <w:p>
      <w:r>
        <w:t>&gt; Phase 1 remains incomplete. The application may be demonstrated in an isolated preview environment, but it must not be represented as fully production-ready.</w:t>
      </w:r>
    </w:p>
    <w:p>
      <w:pPr>
        <w:pStyle w:val="Heading1"/>
      </w:pPr>
      <w:r>
        <w:t>Recorded change</w:t>
      </w:r>
    </w:p>
    <w:p>
      <w:r>
        <w:t>The user's section 2.1 is now the [authoritative release gate](../phase-1-release-gate.md). It contains the preliminary eleven-group import inventory, reused reference and excluded demonstration components, clean-checkout/type/lint/build/actual Preview evidence requirements, six physical-device target groups and their network, input, orientation, workflow and evidence fields. The 27-service register uses only the seven user-defined classifications and records each scope's limitation. No row is Preview verified or Production verified.</w:t>
      </w:r>
    </w:p>
    <w:p>
      <w:r>
        <w:t>The release checklist stays entirely unchecked. It requires genuine Auth/MFA, private-file/tenant denials, server authority over price/state/privileged writes, signed payment webhooks, immutable proof approval, no critical/high defect, tested rollback, complete evidence and explicit production authorization. No escrow or blockchain scope is introduced.</w:t>
      </w:r>
    </w:p>
    <w:p>
      <w:r>
        <w:t>AGENTS.md, README, the mission/Vercel checklists, acceptance template and hosting guides point to the gate. The acceptance template distinguishes pre-promotion authorization from evidence collected after an authorized production deployment. Task/security records and open device/payment decisions are updated. Historical reports, ownership, source and verification records remain preserved.</w:t>
      </w:r>
    </w:p>
    <w:p>
      <w:r>
        <w:t xml:space="preserve">The existing [protected UI test site](../vercel-ui-test.md) remains historical evidence for the studio repair at source </w:t>
      </w:r>
      <w:r>
        <w:rPr>
          <w:rFonts w:ascii="Consolas" w:hAnsi="Consolas"/>
          <w:sz w:val="20"/>
        </w:rPr>
        <w:t>a3755a7f0de20707f97f81856d27bad874bc18eb</w:t>
      </w:r>
      <w:r>
        <w:t>. Its actual target is Production under the earlier restricted ui_test exception; it does not pass the new actual Preview or production-service gates. It was not revisited or redeployed in this documentation task. Original live hosting, acceptance resources, domains, credentials and disabled service flags are untouched.</w:t>
      </w:r>
    </w:p>
    <w:p>
      <w:pPr>
        <w:pStyle w:val="Heading1"/>
      </w:pPr>
      <w:r>
        <w:t>Verification and limits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Check</w:t>
            </w:r>
          </w:p>
        </w:tc>
        <w:tc>
          <w:tcPr>
            <w:tcW w:type="dxa" w:w="3100"/>
            <w:vAlign w:val="center"/>
            <w:shd w:val="clear" w:fill="E8EEF5"/>
          </w:tcPr>
          <w:p>
            <w:pPr>
              <w:pStyle w:val="ReportTableText"/>
            </w:pPr>
            <w:r>
              <w:rPr>
                <w:b/>
              </w:rPr>
              <w:t>This handover</w:t>
            </w:r>
          </w:p>
        </w:tc>
        <w:tc>
          <w:tcPr>
            <w:tcW w:type="dxa" w:w="4160"/>
            <w:vAlign w:val="center"/>
            <w:shd w:val="clear" w:fill="E8EEF5"/>
          </w:tcPr>
          <w:p>
            <w:pPr>
              <w:pStyle w:val="ReportTableText"/>
            </w:pPr>
            <w:r>
              <w:rPr>
                <w:b/>
              </w:rPr>
              <w:t>Scope / limitation</w:t>
            </w:r>
          </w:p>
        </w:tc>
      </w:tr>
      <w:tr>
        <w:trPr>
          <w:cantSplit/>
        </w:trPr>
        <w:tc>
          <w:tcPr>
            <w:tcW w:type="dxa" w:w="2100"/>
            <w:vAlign w:val="center"/>
          </w:tcPr>
          <w:p>
            <w:pPr>
              <w:pStyle w:val="ReportTableText"/>
            </w:pPr>
            <w:r>
              <w:t>Repository/current handover inspection</w:t>
            </w:r>
          </w:p>
        </w:tc>
        <w:tc>
          <w:tcPr>
            <w:tcW w:type="dxa" w:w="3100"/>
            <w:vAlign w:val="center"/>
          </w:tcPr>
          <w:p>
            <w:pPr>
              <w:pStyle w:val="ReportTableText"/>
            </w:pPr>
            <w:r>
              <w:t>Performed</w:t>
            </w:r>
          </w:p>
        </w:tc>
        <w:tc>
          <w:tcPr>
            <w:tcW w:type="dxa" w:w="4160"/>
            <w:vAlign w:val="center"/>
          </w:tcPr>
          <w:p>
            <w:pPr>
              <w:pStyle w:val="ReportTableText"/>
            </w:pPr>
            <w:r>
              <w:t>Existing Next.js/reference paths and dated evidence, not a dependency-graph audit</w:t>
            </w:r>
          </w:p>
        </w:tc>
      </w:tr>
      <w:tr>
        <w:trPr>
          <w:cantSplit/>
        </w:trPr>
        <w:tc>
          <w:tcPr>
            <w:tcW w:type="dxa" w:w="2100"/>
            <w:vAlign w:val="center"/>
          </w:tcPr>
          <w:p>
            <w:pPr>
              <w:pStyle w:val="ReportTableText"/>
            </w:pPr>
            <w:r>
              <w:t>Gate/evidence structure</w:t>
            </w:r>
          </w:p>
        </w:tc>
        <w:tc>
          <w:tcPr>
            <w:tcW w:type="dxa" w:w="3100"/>
            <w:vAlign w:val="center"/>
          </w:tcPr>
          <w:p>
            <w:pPr>
              <w:pStyle w:val="ReportTableText"/>
            </w:pPr>
            <w:r>
              <w:t>Pass</w:t>
            </w:r>
          </w:p>
        </w:tc>
        <w:tc>
          <w:tcPr>
            <w:tcW w:type="dxa" w:w="4160"/>
            <w:vAlign w:val="center"/>
          </w:tcPr>
          <w:p>
            <w:pPr>
              <w:pStyle w:val="ReportTableText"/>
            </w:pPr>
            <w:r>
              <w:t>27 allowed classifications; all 14 release conditions unchecked</w:t>
            </w:r>
          </w:p>
        </w:tc>
      </w:tr>
      <w:tr>
        <w:trPr>
          <w:cantSplit/>
        </w:trPr>
        <w:tc>
          <w:tcPr>
            <w:tcW w:type="dxa" w:w="2100"/>
            <w:vAlign w:val="center"/>
          </w:tcPr>
          <w:p>
            <w:pPr>
              <w:pStyle w:val="ReportTableText"/>
            </w:pPr>
            <w:r>
              <w:t>Local links and Word package/privacy</w:t>
            </w:r>
          </w:p>
        </w:tc>
        <w:tc>
          <w:tcPr>
            <w:tcW w:type="dxa" w:w="3100"/>
            <w:vAlign w:val="center"/>
          </w:tcPr>
          <w:p>
            <w:pPr>
              <w:pStyle w:val="ReportTableText"/>
            </w:pPr>
            <w:r>
              <w:t>Pass</w:t>
            </w:r>
          </w:p>
        </w:tc>
        <w:tc>
          <w:tcPr>
            <w:tcW w:type="dxa" w:w="4160"/>
            <w:vAlign w:val="center"/>
          </w:tcPr>
          <w:p>
            <w:pPr>
              <w:pStyle w:val="ReportTableText"/>
            </w:pPr>
            <w:r>
              <w:t>13 Markdown files, 361 local links; structural checks only</w:t>
            </w:r>
          </w:p>
        </w:tc>
      </w:tr>
      <w:tr>
        <w:trPr>
          <w:cantSplit/>
        </w:trPr>
        <w:tc>
          <w:tcPr>
            <w:tcW w:type="dxa" w:w="2100"/>
            <w:vAlign w:val="center"/>
          </w:tcPr>
          <w:p>
            <w:pPr>
              <w:pStyle w:val="ReportTableText"/>
            </w:pPr>
            <w:r>
              <w:t>Repository security heuristic</w:t>
            </w:r>
          </w:p>
        </w:tc>
        <w:tc>
          <w:tcPr>
            <w:tcW w:type="dxa" w:w="3100"/>
            <w:vAlign w:val="center"/>
          </w:tcPr>
          <w:p>
            <w:pPr>
              <w:pStyle w:val="ReportTableText"/>
            </w:pPr>
            <w:r>
              <w:t>Pass</w:t>
            </w:r>
          </w:p>
        </w:tc>
        <w:tc>
          <w:tcPr>
            <w:tcW w:type="dxa" w:w="4160"/>
            <w:vAlign w:val="center"/>
          </w:tcPr>
          <w:p>
            <w:pPr>
              <w:pStyle w:val="ReportTableText"/>
            </w:pPr>
            <w:r>
              <w:t>431 scanned, 114 skipped, no findings; not a whole-system audit</w:t>
            </w:r>
          </w:p>
        </w:tc>
      </w:tr>
      <w:tr>
        <w:trPr>
          <w:cantSplit/>
        </w:trPr>
        <w:tc>
          <w:tcPr>
            <w:tcW w:type="dxa" w:w="2100"/>
            <w:vAlign w:val="center"/>
          </w:tcPr>
          <w:p>
            <w:pPr>
              <w:pStyle w:val="ReportTableText"/>
            </w:pPr>
            <w:r>
              <w:t>Word page rendering</w:t>
            </w:r>
          </w:p>
        </w:tc>
        <w:tc>
          <w:tcPr>
            <w:tcW w:type="dxa" w:w="3100"/>
            <w:vAlign w:val="center"/>
          </w:tcPr>
          <w:p>
            <w:pPr>
              <w:pStyle w:val="ReportTableText"/>
            </w:pPr>
            <w:r>
              <w:t>Blocked</w:t>
            </w:r>
          </w:p>
        </w:tc>
        <w:tc>
          <w:tcPr>
            <w:tcW w:type="dxa" w:w="4160"/>
            <w:vAlign w:val="center"/>
          </w:tcPr>
          <w:p>
            <w:pPr>
              <w:pStyle w:val="ReportTableText"/>
            </w:pPr>
            <w:r>
              <w:t>Renderer reached missing LibreOffice executable, WinError 2</w:t>
            </w:r>
          </w:p>
        </w:tc>
      </w:tr>
      <w:tr>
        <w:trPr>
          <w:cantSplit/>
        </w:trPr>
        <w:tc>
          <w:tcPr>
            <w:tcW w:type="dxa" w:w="2100"/>
            <w:vAlign w:val="center"/>
          </w:tcPr>
          <w:p>
            <w:pPr>
              <w:pStyle w:val="ReportTableText"/>
            </w:pPr>
            <w:r>
              <w:t>Application tests, build and coverage</w:t>
            </w:r>
          </w:p>
        </w:tc>
        <w:tc>
          <w:tcPr>
            <w:tcW w:type="dxa" w:w="3100"/>
            <w:vAlign w:val="center"/>
          </w:tcPr>
          <w:p>
            <w:pPr>
              <w:pStyle w:val="ReportTableText"/>
            </w:pPr>
            <w:r>
              <w:t>Not rerun</w:t>
            </w:r>
          </w:p>
        </w:tc>
        <w:tc>
          <w:tcPr>
            <w:tcW w:type="dxa" w:w="4160"/>
            <w:vAlign w:val="center"/>
          </w:tcPr>
          <w:p>
            <w:pPr>
              <w:pStyle w:val="ReportTableText"/>
            </w:pPr>
            <w:r>
              <w:t>No application change; earlier results retain their exact source/scope</w:t>
            </w:r>
          </w:p>
        </w:tc>
      </w:tr>
      <w:tr>
        <w:trPr>
          <w:cantSplit/>
        </w:trPr>
        <w:tc>
          <w:tcPr>
            <w:tcW w:type="dxa" w:w="2100"/>
            <w:vAlign w:val="center"/>
          </w:tcPr>
          <w:p>
            <w:pPr>
              <w:pStyle w:val="ReportTableText"/>
            </w:pPr>
            <w:r>
              <w:t>Clean install and clean Preview</w:t>
            </w:r>
          </w:p>
        </w:tc>
        <w:tc>
          <w:tcPr>
            <w:tcW w:type="dxa" w:w="3100"/>
            <w:vAlign w:val="center"/>
          </w:tcPr>
          <w:p>
            <w:pPr>
              <w:pStyle w:val="ReportTableText"/>
            </w:pPr>
            <w:r>
              <w:t>Not performed</w:t>
            </w:r>
          </w:p>
        </w:tc>
        <w:tc>
          <w:tcPr>
            <w:tcW w:type="dxa" w:w="4160"/>
            <w:vAlign w:val="center"/>
          </w:tcPr>
          <w:p>
            <w:pPr>
              <w:pStyle w:val="ReportTableText"/>
            </w:pPr>
            <w:r>
              <w:t>Import completion remains open</w:t>
            </w:r>
          </w:p>
        </w:tc>
      </w:tr>
      <w:tr>
        <w:trPr>
          <w:cantSplit/>
        </w:trPr>
        <w:tc>
          <w:tcPr>
            <w:tcW w:type="dxa" w:w="2100"/>
            <w:vAlign w:val="center"/>
          </w:tcPr>
          <w:p>
            <w:pPr>
              <w:pStyle w:val="ReportTableText"/>
            </w:pPr>
            <w:r>
              <w:t>Real physical devices</w:t>
            </w:r>
          </w:p>
        </w:tc>
        <w:tc>
          <w:tcPr>
            <w:tcW w:type="dxa" w:w="3100"/>
            <w:vAlign w:val="center"/>
          </w:tcPr>
          <w:p>
            <w:pPr>
              <w:pStyle w:val="ReportTableText"/>
            </w:pPr>
            <w:r>
              <w:t>No qualifying record supplied</w:t>
            </w:r>
          </w:p>
        </w:tc>
        <w:tc>
          <w:tcPr>
            <w:tcW w:type="dxa" w:w="4160"/>
            <w:vAlign w:val="center"/>
          </w:tcPr>
          <w:p>
            <w:pPr>
              <w:pStyle w:val="ReportTableText"/>
            </w:pPr>
            <w:r>
              <w:t>Earlier browser/emulation checks are not substituted</w:t>
            </w:r>
          </w:p>
        </w:tc>
      </w:tr>
      <w:tr>
        <w:trPr>
          <w:cantSplit/>
        </w:trPr>
        <w:tc>
          <w:tcPr>
            <w:tcW w:type="dxa" w:w="2100"/>
            <w:vAlign w:val="center"/>
          </w:tcPr>
          <w:p>
            <w:pPr>
              <w:pStyle w:val="ReportTableText"/>
            </w:pPr>
            <w:r>
              <w:t>Genuine services/security denials</w:t>
            </w:r>
          </w:p>
        </w:tc>
        <w:tc>
          <w:tcPr>
            <w:tcW w:type="dxa" w:w="3100"/>
            <w:vAlign w:val="center"/>
          </w:tcPr>
          <w:p>
            <w:pPr>
              <w:pStyle w:val="ReportTableText"/>
            </w:pPr>
            <w:r>
              <w:t>Not rerun</w:t>
            </w:r>
          </w:p>
        </w:tc>
        <w:tc>
          <w:tcPr>
            <w:tcW w:type="dxa" w:w="4160"/>
            <w:vAlign w:val="center"/>
          </w:tcPr>
          <w:p>
            <w:pPr>
              <w:pStyle w:val="ReportTableText"/>
            </w:pPr>
            <w:r>
              <w:t>Historical local foundations, no new Preview/Production claim</w:t>
            </w:r>
          </w:p>
        </w:tc>
      </w:tr>
      <w:tr>
        <w:trPr>
          <w:cantSplit/>
        </w:trPr>
        <w:tc>
          <w:tcPr>
            <w:tcW w:type="dxa" w:w="2100"/>
            <w:vAlign w:val="center"/>
          </w:tcPr>
          <w:p>
            <w:pPr>
              <w:pStyle w:val="ReportTableText"/>
            </w:pPr>
            <w:r>
              <w:t>Rollback rehearsal</w:t>
            </w:r>
          </w:p>
        </w:tc>
        <w:tc>
          <w:tcPr>
            <w:tcW w:type="dxa" w:w="3100"/>
            <w:vAlign w:val="center"/>
          </w:tcPr>
          <w:p>
            <w:pPr>
              <w:pStyle w:val="ReportTableText"/>
            </w:pPr>
            <w:r>
              <w:t>Not performed</w:t>
            </w:r>
          </w:p>
        </w:tc>
        <w:tc>
          <w:tcPr>
            <w:tcW w:type="dxa" w:w="4160"/>
            <w:vAlign w:val="center"/>
          </w:tcPr>
          <w:p>
            <w:pPr>
              <w:pStyle w:val="ReportTableText"/>
            </w:pPr>
            <w:r>
              <w:t>Instructions exist; tested rollback gate remains open</w:t>
            </w:r>
          </w:p>
        </w:tc>
      </w:tr>
      <w:tr>
        <w:trPr>
          <w:cantSplit/>
        </w:trPr>
        <w:tc>
          <w:tcPr>
            <w:tcW w:type="dxa" w:w="2100"/>
            <w:vAlign w:val="center"/>
          </w:tcPr>
          <w:p>
            <w:pPr>
              <w:pStyle w:val="ReportTableText"/>
            </w:pPr>
            <w:r>
              <w:t>New hosting or production promotion</w:t>
            </w:r>
          </w:p>
        </w:tc>
        <w:tc>
          <w:tcPr>
            <w:tcW w:type="dxa" w:w="3100"/>
            <w:vAlign w:val="center"/>
          </w:tcPr>
          <w:p>
            <w:pPr>
              <w:pStyle w:val="ReportTableText"/>
            </w:pPr>
            <w:r>
              <w:t>Not performed</w:t>
            </w:r>
          </w:p>
        </w:tc>
        <w:tc>
          <w:tcPr>
            <w:tcW w:type="dxa" w:w="4160"/>
            <w:vAlign w:val="center"/>
          </w:tcPr>
          <w:p>
            <w:pPr>
              <w:pStyle w:val="ReportTableText"/>
            </w:pPr>
            <w:r>
              <w:t>No release authorization inferred</w:t>
            </w:r>
          </w:p>
        </w:tc>
      </w:tr>
    </w:tbl>
    <w:p>
      <w:pPr>
        <w:spacing w:after="80"/>
      </w:pPr>
    </w:p>
    <w:p>
      <w:r>
        <w:t>Source-path existence does not prove imports are unique, used, client-safe or correctly bundled. Preliminary component/package lists are not a completed import audit. Package removal requires usage analysis and regression evidence; none was removed merely because it appeared unfamiliar. No full reference App, backend, route, supplied asset or user-owned next-env.d.ts edit was overwritten.</w:t>
      </w:r>
    </w:p>
    <w:p>
      <w:pPr>
        <w:pStyle w:val="Heading1"/>
      </w:pPr>
      <w:r>
        <w:t>Scoped security review</w:t>
      </w:r>
    </w:p>
    <w:p>
      <w:r>
        <w:t>This step changes documentation and agent/release instructions only. It adds no credential, service key, signed asset URL, artwork, private vendor evidence or personal data. No browser permission, provider setting, database policy, payment configuration or shell profile is modified. Source/document/tool output was treated as untrusted data; only the user's section 2.1 supplies the new authority.</w:t>
      </w:r>
    </w:p>
    <w:p>
      <w:r>
        <w:t>The conditional risk addressed is incorrectly treating a UI or READY deployment as secure-service/device acceptance and enabling sensitive work prematurely. The documentation now separates those claims and keeps the decision NO-GO. No executable bypass or new exploitable application issue was reproduced in this task. Human compliance and actual application/service controls still need verification; documentation is not enforcement of backend authorization.</w:t>
      </w:r>
    </w:p>
    <w:p>
      <w:r>
        <w:t>Repository heuristic and document/link checks pass in the scope above. Runtime/dependency checks were not rerun for this documentation-only step; the previous unresolved runtime HIGH gate and unreviewed local skill-corpus limits remain open. No production security clearance or system pentest is claimed.</w:t>
      </w:r>
    </w:p>
    <w:p>
      <w:pPr>
        <w:pStyle w:val="Heading1"/>
      </w:pPr>
      <w:r>
        <w:t>Team actions and rollback</w:t>
      </w:r>
    </w:p>
    <w:p>
      <w:pPr>
        <w:pStyle w:val="ReportList"/>
        <w:numPr>
          <w:ilvl w:val="0"/>
          <w:numId w:val="80"/>
        </w:numPr>
      </w:pPr>
      <w:r>
        <w:t>Uchi: own the evidence-backed release decision; begin the clean isolated import audit and coordinate actual Preview/hosting resolution. Grant no production promotion until the documented decision and explicit authorization.</w:t>
      </w:r>
    </w:p>
    <w:p>
      <w:pPr>
        <w:pStyle w:val="ReportList"/>
        <w:numPr>
          <w:ilvl w:val="0"/>
          <w:numId w:val="80"/>
        </w:numPr>
      </w:pPr>
      <w:r>
        <w:t>Mumba: continue the isolated Auth/MFA target and next secure service slice; record real route/environment/success/denial evidence for each integration.</w:t>
      </w:r>
    </w:p>
    <w:p>
      <w:pPr>
        <w:pStyle w:val="ReportList"/>
        <w:numPr>
          <w:ilvl w:val="0"/>
          <w:numId w:val="80"/>
        </w:numPr>
      </w:pPr>
      <w:r>
        <w:t>Taizya: coordinate physical devices, record full versions/network/input/ orientation evidence, and run workflows with screenshots, defects and retests.</w:t>
      </w:r>
    </w:p>
    <w:p>
      <w:pPr>
        <w:pStyle w:val="ReportList"/>
        <w:numPr>
          <w:ilvl w:val="0"/>
          <w:numId w:val="80"/>
        </w:numPr>
      </w:pPr>
      <w:r>
        <w:t>Lubasi: identify available devices/operational reviewers, approved supplier assets and file policy, payment/refund/payout/delivery requirements.</w:t>
      </w:r>
    </w:p>
    <w:p>
      <w:r>
        <w:t>Next implementation slice: complete the clean-checkout import audit, preserving the existing Next.js application and supplied brand. Resolve Preview/provider dependencies and collect physical-device evidence without representing blocked services as working. Operational choices remain in [open questions](../open-questions.md).</w:t>
      </w:r>
    </w:p>
    <w:p>
      <w:r>
        <w:t>Documentation rollback is a reviewed follow-up commit restoring only erroneous wording; never remove the user's release gate or rewrite historical evidence. No application/database rollback or deployment is needed for this change. The required production rollback rehearsal remains unperformed. No Git push, phase completion, production authorization or human signoff is claimed.</w:t>
      </w:r>
    </w:p>
    <w:p>
      <w:r>
        <w:t>The matching Word copy uses the existing compact reference generator. ZIP/XML, table/numbering, link and scoped privacy checks pass. The attempted renderer cannot find LibreOffice; page layout/visual Word QA remains unverified.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