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Explicit role assignment foundation</w:t>
      </w:r>
    </w:p>
    <w:p>
      <w:r>
        <w:t xml:space="preserve">Date: 16 October 2026. Owners: Uchi Chinyama and Mumba Chitonge. Status: </w:t>
      </w:r>
      <w:r>
        <w:rPr>
          <w:b/>
        </w:rPr>
        <w:t>PARTIAL Phase 1; disabled local schema/reader foundation verified.</w:t>
      </w:r>
    </w:p>
    <w:p>
      <w:pPr>
        <w:pStyle w:val="Heading1"/>
      </w:pPr>
      <w:r>
        <w:t>Delivered slice</w:t>
      </w:r>
    </w:p>
    <w:p>
      <w:r>
        <w:t>The new private virtual_ink_phase1 schema contains role_assignments and role_assignment_audits for all eight requested roles. One active assignment per user is enforced by a partial unique index. Grant fields remain immutable; revocation moves version 1 to 2 with separate reviewer evidence and reason code. Regranting requires a new row. Deferred constraints require a matching same- transaction audit and reject an audit that invents an unperformed change. Snapshots bind assignment/user/role/version/action/actor/approval/reason, with the current transaction and database session actor. Audits and assignment history cannot be deleted; audit updates/truncation deny.</w:t>
      </w:r>
    </w:p>
    <w:p>
      <w:r>
        <w:t>The new NOLOGIN/NOBYPASSRLS reader gets self-scoped SELECT on active assignments and no new audit/write rights. It inherits the existing API group for identity mapping and its existing rights. No current login receives the reader group. Both new tables enable and force RLS. Explicit revokes remove default creator grants from existing runtime/client roles, not just PUBLIC grants.</w:t>
      </w:r>
    </w:p>
    <w:p>
      <w:r>
        <w:t>loadAssignedPhase1Actor reads exactly one current, well-formed assignment after verified identity/active-user mapping. It supports all eight role names, clears prior scope and has no legacy fallback. Its immutable actor has no grants, resource/organization assignments or elevated MFA. It has no production business- route caller. The older conservative bridge remains separate. This does not implement a privileged writer, genuine MFA, resource context or action/audit API.</w:t>
      </w:r>
    </w:p>
    <w:p>
      <w:r>
        <w:t>Created source: database/phase1/role-assignments.sql, the CLI-generated versioned migration, database/tests/phase1-role-assignments.sql, assigned-context.ts and its three test groups. package.json adds these groups to security tests; .gitignore excludes CLI temporary metadata. Setup, role matrix, checklist, board, current boundary, README and handover pointers are updated. Supplied assets, historical reports and the user next-env.d.ts edit are preserved.</w:t>
      </w:r>
    </w:p>
    <w:p>
      <w:pPr>
        <w:pStyle w:val="Heading1"/>
      </w:pPr>
      <w:r>
        <w:t>Migration and enablement boundary</w:t>
      </w:r>
    </w:p>
    <w:p>
      <w:r>
        <w:t xml:space="preserve">Migration: 20261016043927_virtual_ink_phase1_role_assignments.sql. Its filename was generated by the pinned official Supabase CLI 2.121.0 after inspecting help. The portable SQL and migration have identical SHA-256 checksums: </w:t>
      </w:r>
      <w:r>
        <w:rPr>
          <w:rFonts w:ascii="Consolas" w:hAnsi="Consolas"/>
          <w:sz w:val="20"/>
        </w:rPr>
        <w:t>9993c33d828603d235aef7609933c117d7fef537e55454bd728cbdf60c11dc3c</w:t>
      </w:r>
      <w:r>
        <w:t>. The previous ten migration files are unchanged.</w:t>
      </w:r>
    </w:p>
    <w:p>
      <w:r>
        <w:t>There are eleven local migrations and ten hosted migrations. Read-only catalog queries confirm the new schema and reader are absent from hosted development. No hosted DDL, role writer, LOGIN/password, public RPC, assignment seed or legacy role promotion was performed. Only a reviewed migration administrator could write this disabled foundation. Synthetic approval references are not proof of human review or MFA. Existing API credentials and the original nine-table startup readiness contract are unchanged; no environment variable is introduced.</w:t>
      </w:r>
    </w:p>
    <w:p>
      <w:r>
        <w:t>The global CLI installation lacked its Windows binary. The pinned npm tool-cache invocation restored local CLI use without adding application dependencies or changing application lockfiles. Initial sandbox cache failures were resolved by the approved tool-cache invocation. No hosted link, Auth user or credential was created by the CLI.</w:t>
      </w:r>
    </w:p>
    <w:p>
      <w:pPr>
        <w:pStyle w:val="Heading1"/>
      </w:pPr>
      <w:r>
        <w:t>Verification and coverage</w:t>
      </w:r>
    </w:p>
    <w:p>
      <w:r>
        <w:t>The existing readiness verifier uses private Node 24.21.0. Coverage records 16 October 2026 at 04:40 UTC. Final local SQL probes also exercise permissive creator defaults for the synthetic authenticated role.</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Check</w:t>
            </w:r>
          </w:p>
        </w:tc>
        <w:tc>
          <w:tcPr>
            <w:tcW w:type="dxa" w:w="6060"/>
            <w:vAlign w:val="center"/>
            <w:shd w:val="clear" w:fill="E8EEF5"/>
          </w:tcPr>
          <w:p>
            <w:pPr>
              <w:pStyle w:val="ReportTableText"/>
            </w:pPr>
            <w:r>
              <w:rPr>
                <w:b/>
              </w:rPr>
              <w:t>Actual result</w:t>
            </w:r>
          </w:p>
        </w:tc>
      </w:tr>
      <w:tr>
        <w:trPr>
          <w:cantSplit/>
        </w:trPr>
        <w:tc>
          <w:tcPr>
            <w:tcW w:type="dxa" w:w="3300"/>
            <w:vAlign w:val="center"/>
          </w:tcPr>
          <w:p>
            <w:pPr>
              <w:pStyle w:val="ReportTableText"/>
            </w:pPr>
            <w:r>
              <w:t>Complete root tests</w:t>
            </w:r>
          </w:p>
        </w:tc>
        <w:tc>
          <w:tcPr>
            <w:tcW w:type="dxa" w:w="6060"/>
            <w:vAlign w:val="center"/>
          </w:tcPr>
          <w:p>
            <w:pPr>
              <w:pStyle w:val="ReportTableText"/>
            </w:pPr>
            <w:r>
              <w:t>186 pass; zero failed/skipped</w:t>
            </w:r>
          </w:p>
        </w:tc>
      </w:tr>
      <w:tr>
        <w:trPr>
          <w:cantSplit/>
        </w:trPr>
        <w:tc>
          <w:tcPr>
            <w:tcW w:type="dxa" w:w="3300"/>
            <w:vAlign w:val="center"/>
          </w:tcPr>
          <w:p>
            <w:pPr>
              <w:pStyle w:val="ReportTableText"/>
            </w:pPr>
            <w:r>
              <w:t>Security subset</w:t>
            </w:r>
          </w:p>
        </w:tc>
        <w:tc>
          <w:tcPr>
            <w:tcW w:type="dxa" w:w="6060"/>
            <w:vAlign w:val="center"/>
          </w:tcPr>
          <w:p>
            <w:pPr>
              <w:pStyle w:val="ReportTableText"/>
            </w:pPr>
            <w:r>
              <w:t>175 pass</w:t>
            </w:r>
          </w:p>
        </w:tc>
      </w:tr>
      <w:tr>
        <w:trPr>
          <w:cantSplit/>
        </w:trPr>
        <w:tc>
          <w:tcPr>
            <w:tcW w:type="dxa" w:w="3300"/>
            <w:vAlign w:val="center"/>
          </w:tcPr>
          <w:p>
            <w:pPr>
              <w:pStyle w:val="ReportTableText"/>
            </w:pPr>
            <w:r>
              <w:t>New assignment loader groups</w:t>
            </w:r>
          </w:p>
        </w:tc>
        <w:tc>
          <w:tcPr>
            <w:tcW w:type="dxa" w:w="6060"/>
            <w:vAlign w:val="center"/>
          </w:tcPr>
          <w:p>
            <w:pPr>
              <w:pStyle w:val="ReportTableText"/>
            </w:pPr>
            <w:r>
              <w:t>Three pass, covering all eight roles and malformed/revoked/missing/cross-user facts</w:t>
            </w:r>
          </w:p>
        </w:tc>
      </w:tr>
      <w:tr>
        <w:trPr>
          <w:cantSplit/>
        </w:trPr>
        <w:tc>
          <w:tcPr>
            <w:tcW w:type="dxa" w:w="3300"/>
            <w:vAlign w:val="center"/>
          </w:tcPr>
          <w:p>
            <w:pPr>
              <w:pStyle w:val="ReportTableText"/>
            </w:pPr>
            <w:r>
              <w:t>React/mesh and synthetic SDK/Next Auth</w:t>
            </w:r>
          </w:p>
        </w:tc>
        <w:tc>
          <w:tcPr>
            <w:tcW w:type="dxa" w:w="6060"/>
            <w:vAlign w:val="center"/>
          </w:tcPr>
          <w:p>
            <w:pPr>
              <w:pStyle w:val="ReportTableText"/>
            </w:pPr>
            <w:r>
              <w:t>Nine and fourteen pass</w:t>
            </w:r>
          </w:p>
        </w:tc>
      </w:tr>
      <w:tr>
        <w:trPr>
          <w:cantSplit/>
        </w:trPr>
        <w:tc>
          <w:tcPr>
            <w:tcW w:type="dxa" w:w="3300"/>
            <w:vAlign w:val="center"/>
          </w:tcPr>
          <w:p>
            <w:pPr>
              <w:pStyle w:val="ReportTableText"/>
            </w:pPr>
            <w:r>
              <w:t>Web and strict backend/shared types</w:t>
            </w:r>
          </w:p>
        </w:tc>
        <w:tc>
          <w:tcPr>
            <w:tcW w:type="dxa" w:w="6060"/>
            <w:vAlign w:val="center"/>
          </w:tcPr>
          <w:p>
            <w:pPr>
              <w:pStyle w:val="ReportTableText"/>
            </w:pPr>
            <w:r>
              <w:t>Pass</w:t>
            </w:r>
          </w:p>
        </w:tc>
      </w:tr>
      <w:tr>
        <w:trPr>
          <w:cantSplit/>
        </w:trPr>
        <w:tc>
          <w:tcPr>
            <w:tcW w:type="dxa" w:w="3300"/>
            <w:vAlign w:val="center"/>
          </w:tcPr>
          <w:p>
            <w:pPr>
              <w:pStyle w:val="ReportTableText"/>
            </w:pPr>
            <w:r>
              <w:t>Production build</w:t>
            </w:r>
          </w:p>
        </w:tc>
        <w:tc>
          <w:tcPr>
            <w:tcW w:type="dxa" w:w="6060"/>
            <w:vAlign w:val="center"/>
          </w:tcPr>
          <w:p>
            <w:pPr>
              <w:pStyle w:val="ReportTableText"/>
            </w:pPr>
            <w:r>
              <w:t>Pass; sixteen static pages generated</w:t>
            </w:r>
          </w:p>
        </w:tc>
      </w:tr>
      <w:tr>
        <w:trPr>
          <w:cantSplit/>
        </w:trPr>
        <w:tc>
          <w:tcPr>
            <w:tcW w:type="dxa" w:w="3300"/>
            <w:vAlign w:val="center"/>
          </w:tcPr>
          <w:p>
            <w:pPr>
              <w:pStyle w:val="ReportTableText"/>
            </w:pPr>
            <w:r>
              <w:t>Coverage inventory</w:t>
            </w:r>
          </w:p>
        </w:tc>
        <w:tc>
          <w:tcPr>
            <w:tcW w:type="dxa" w:w="6060"/>
            <w:vAlign w:val="center"/>
          </w:tcPr>
          <w:p>
            <w:pPr>
              <w:pStyle w:val="ReportTableText"/>
            </w:pPr>
            <w:r>
              <w:t>All 35 backend/shared files measured; 95% gate passes</w:t>
            </w:r>
          </w:p>
        </w:tc>
      </w:tr>
      <w:tr>
        <w:trPr>
          <w:cantSplit/>
        </w:trPr>
        <w:tc>
          <w:tcPr>
            <w:tcW w:type="dxa" w:w="3300"/>
            <w:vAlign w:val="center"/>
          </w:tcPr>
          <w:p>
            <w:pPr>
              <w:pStyle w:val="ReportTableText"/>
            </w:pPr>
            <w:r>
              <w:t>Lines</w:t>
            </w:r>
          </w:p>
        </w:tc>
        <w:tc>
          <w:tcPr>
            <w:tcW w:type="dxa" w:w="6060"/>
            <w:vAlign w:val="center"/>
          </w:tcPr>
          <w:p>
            <w:pPr>
              <w:pStyle w:val="ReportTableText"/>
            </w:pPr>
            <w:r>
              <w:t>1752/1766 = 99.2072%</w:t>
            </w:r>
          </w:p>
        </w:tc>
      </w:tr>
      <w:tr>
        <w:trPr>
          <w:cantSplit/>
        </w:trPr>
        <w:tc>
          <w:tcPr>
            <w:tcW w:type="dxa" w:w="3300"/>
            <w:vAlign w:val="center"/>
          </w:tcPr>
          <w:p>
            <w:pPr>
              <w:pStyle w:val="ReportTableText"/>
            </w:pPr>
            <w:r>
              <w:t>Branches</w:t>
            </w:r>
          </w:p>
        </w:tc>
        <w:tc>
          <w:tcPr>
            <w:tcW w:type="dxa" w:w="6060"/>
            <w:vAlign w:val="center"/>
          </w:tcPr>
          <w:p>
            <w:pPr>
              <w:pStyle w:val="ReportTableText"/>
            </w:pPr>
            <w:r>
              <w:t>1190/1234 = 96.4344%</w:t>
            </w:r>
          </w:p>
        </w:tc>
      </w:tr>
      <w:tr>
        <w:trPr>
          <w:cantSplit/>
        </w:trPr>
        <w:tc>
          <w:tcPr>
            <w:tcW w:type="dxa" w:w="3300"/>
            <w:vAlign w:val="center"/>
          </w:tcPr>
          <w:p>
            <w:pPr>
              <w:pStyle w:val="ReportTableText"/>
            </w:pPr>
            <w:r>
              <w:t>Functions</w:t>
            </w:r>
          </w:p>
        </w:tc>
        <w:tc>
          <w:tcPr>
            <w:tcW w:type="dxa" w:w="6060"/>
            <w:vAlign w:val="center"/>
          </w:tcPr>
          <w:p>
            <w:pPr>
              <w:pStyle w:val="ReportTableText"/>
            </w:pPr>
            <w:r>
              <w:t>157/160 = 98.1250%</w:t>
            </w:r>
          </w:p>
        </w:tc>
      </w:tr>
      <w:tr>
        <w:trPr>
          <w:cantSplit/>
        </w:trPr>
        <w:tc>
          <w:tcPr>
            <w:tcW w:type="dxa" w:w="3300"/>
            <w:vAlign w:val="center"/>
          </w:tcPr>
          <w:p>
            <w:pPr>
              <w:pStyle w:val="ReportTableText"/>
            </w:pPr>
            <w:r>
              <w:t>Runtime baseline / repository heuristics</w:t>
            </w:r>
          </w:p>
        </w:tc>
        <w:tc>
          <w:tcPr>
            <w:tcW w:type="dxa" w:w="6060"/>
            <w:vAlign w:val="center"/>
          </w:tcPr>
          <w:p>
            <w:pPr>
              <w:pStyle w:val="ReportTableText"/>
            </w:pPr>
            <w:r>
              <w:t>Pass</w:t>
            </w:r>
          </w:p>
        </w:tc>
      </w:tr>
      <w:tr>
        <w:trPr>
          <w:cantSplit/>
        </w:trPr>
        <w:tc>
          <w:tcPr>
            <w:tcW w:type="dxa" w:w="3300"/>
            <w:vAlign w:val="center"/>
          </w:tcPr>
          <w:p>
            <w:pPr>
              <w:pStyle w:val="ReportTableText"/>
            </w:pPr>
            <w:r>
              <w:t>Root/web npm audits</w:t>
            </w:r>
          </w:p>
        </w:tc>
        <w:tc>
          <w:tcPr>
            <w:tcW w:type="dxa" w:w="6060"/>
            <w:vAlign w:val="center"/>
          </w:tcPr>
          <w:p>
            <w:pPr>
              <w:pStyle w:val="ReportTableText"/>
            </w:pPr>
            <w:r>
              <w:t>Both zero known vulnerabilities</w:t>
            </w:r>
          </w:p>
        </w:tc>
      </w:tr>
      <w:tr>
        <w:trPr>
          <w:cantSplit/>
        </w:trPr>
        <w:tc>
          <w:tcPr>
            <w:tcW w:type="dxa" w:w="3300"/>
            <w:vAlign w:val="center"/>
          </w:tcPr>
          <w:p>
            <w:pPr>
              <w:pStyle w:val="ReportTableText"/>
            </w:pPr>
            <w:r>
              <w:t>Fresh PostgreSQL 18 replay</w:t>
            </w:r>
          </w:p>
        </w:tc>
        <w:tc>
          <w:tcPr>
            <w:tcW w:type="dxa" w:w="6060"/>
            <w:vAlign w:val="center"/>
          </w:tcPr>
          <w:p>
            <w:pPr>
              <w:pStyle w:val="ReportTableText"/>
            </w:pPr>
            <w:r>
              <w:t>All eleven migrations pass</w:t>
            </w:r>
          </w:p>
        </w:tc>
      </w:tr>
      <w:tr>
        <w:trPr>
          <w:cantSplit/>
        </w:trPr>
        <w:tc>
          <w:tcPr>
            <w:tcW w:type="dxa" w:w="3300"/>
            <w:vAlign w:val="center"/>
          </w:tcPr>
          <w:p>
            <w:pPr>
              <w:pStyle w:val="ReportTableText"/>
            </w:pPr>
            <w:r>
              <w:t>SQL rollback suites</w:t>
            </w:r>
          </w:p>
        </w:tc>
        <w:tc>
          <w:tcPr>
            <w:tcW w:type="dxa" w:w="6060"/>
            <w:vAlign w:val="center"/>
          </w:tcPr>
          <w:p>
            <w:pPr>
              <w:pStyle w:val="ReportTableText"/>
            </w:pPr>
            <w:r>
              <w:t>Six pass, including new assignment/audit/RLS denials</w:t>
            </w:r>
          </w:p>
        </w:tc>
      </w:tr>
      <w:tr>
        <w:trPr>
          <w:cantSplit/>
        </w:trPr>
        <w:tc>
          <w:tcPr>
            <w:tcW w:type="dxa" w:w="3300"/>
            <w:vAlign w:val="center"/>
          </w:tcPr>
          <w:p>
            <w:pPr>
              <w:pStyle w:val="ReportTableText"/>
            </w:pPr>
            <w:r>
              <w:t>Actual restricted-role loader</w:t>
            </w:r>
          </w:p>
        </w:tc>
        <w:tc>
          <w:tcPr>
            <w:tcW w:type="dxa" w:w="6060"/>
            <w:vAlign w:val="center"/>
          </w:tcPr>
          <w:p>
            <w:pPr>
              <w:pStyle w:val="ReportTableText"/>
            </w:pPr>
            <w:r>
              <w:t>All eight roles load; audited revoke and suspended-user denial pass</w:t>
            </w:r>
          </w:p>
        </w:tc>
      </w:tr>
      <w:tr>
        <w:trPr>
          <w:cantSplit/>
        </w:trPr>
        <w:tc>
          <w:tcPr>
            <w:tcW w:type="dxa" w:w="3300"/>
            <w:vAlign w:val="center"/>
          </w:tcPr>
          <w:p>
            <w:pPr>
              <w:pStyle w:val="ReportTableText"/>
            </w:pPr>
            <w:r>
              <w:t>Custom default-grant probe</w:t>
            </w:r>
          </w:p>
        </w:tc>
        <w:tc>
          <w:tcPr>
            <w:tcW w:type="dxa" w:w="6060"/>
            <w:vAlign w:val="center"/>
          </w:tcPr>
          <w:p>
            <w:pPr>
              <w:pStyle w:val="ReportTableText"/>
            </w:pPr>
            <w:r>
              <w:t>Schema/table/function defaults explicitly removed; old runtime/client roles retain no new rights</w:t>
            </w:r>
          </w:p>
        </w:tc>
      </w:tr>
      <w:tr>
        <w:trPr>
          <w:cantSplit/>
        </w:trPr>
        <w:tc>
          <w:tcPr>
            <w:tcW w:type="dxa" w:w="3300"/>
            <w:vAlign w:val="center"/>
          </w:tcPr>
          <w:p>
            <w:pPr>
              <w:pStyle w:val="ReportTableText"/>
            </w:pPr>
            <w:r>
              <w:t>Fixture residue</w:t>
            </w:r>
          </w:p>
        </w:tc>
        <w:tc>
          <w:tcPr>
            <w:tcW w:type="dxa" w:w="6060"/>
            <w:vAlign w:val="center"/>
          </w:tcPr>
          <w:p>
            <w:pPr>
              <w:pStyle w:val="ReportTableText"/>
            </w:pPr>
            <w:r>
              <w:t>Zero users, memberships, assignments and assignment audits; local instance stopped</w:t>
            </w:r>
          </w:p>
        </w:tc>
      </w:tr>
    </w:tbl>
    <w:p>
      <w:pPr>
        <w:spacing w:after="80"/>
      </w:pPr>
    </w:p>
    <w:p>
      <w:r>
        <w:t>Local probes use a fresh password-protected 127.0.0.1:54329 cluster. Setup and all synthetic role/audit writes roll back; no real approval is simulated. The fixtures exercise required-audit checks at SET CONSTRAINTS ALL IMMEDIATE, the same deferred checks that COMMIT must pass. They also deny duplicate active roles, in-place role promotion, unaudited revocation, invented audit events, unknown roles, audit/history mutation, cross-user context, missing mode, suspension and ordinary-role writes.</w:t>
      </w:r>
    </w:p>
    <w:p>
      <w:r>
        <w:t>Coverage excludes SQL, frontend/browser journeys, server lifecycle and genuine hosted integrations. No live MFA/session, privileged lifecycle, application-write concurrency, PostgreSQL 17 or manual role acceptance is passed. Existing UI checks are regressions. Zero of seventeen final mission groups is fully proven; Phase 1 remains PARTIAL. Existing non-fatal module-type/Three.js warnings remain.</w:t>
      </w:r>
    </w:p>
    <w:p>
      <w:pPr>
        <w:pStyle w:val="Heading1"/>
      </w:pPr>
      <w:r>
        <w:t>Security review</w:t>
      </w:r>
    </w:p>
    <w:p>
      <w:r>
        <w:t>ASSIGN-01: conditional creator-default grants could survive a PUBLIC-only revoke. An administrator would first need to configure such defaults. The new migration now explicitly revokes schema/table/function rights from existing API, provisioner, vendor and client roles. An isolated replay with authenticated defaults proves those rights are removed. No hosted exploit or private-data disclosure is claimed.</w:t>
      </w:r>
    </w:p>
    <w:p>
      <w:r>
        <w:t>ASSIGN-02: a future trusted writer could otherwise leave a role change unaudited or append a misleading lifecycle event. Same-transaction snapshot constraints reject missing/mismatched changes; immutable-history triggers protect the trail. Negative local fixtures pass. Database owners/superusers remain administrative trust principals and can change schema; this is not a sandbox against a compromised migration administrator. No writer service or human approval API is enabled.</w:t>
      </w:r>
    </w:p>
    <w:p>
      <w:r>
        <w:t>Role alone supplies no privileged grant, resource assignment or assurance. Future writers still need real session/MFA validation, scoped authority, bootstrap and revocation decisions, concurrency/idempotency, trustworthy actor attribution and atomic business audits. Existing repeatable-read in-flight revocation limits remain. The [Node announcement](https://nodejs.org/en/blog/vulnerability/october-2026-security-releases) still schedules HIGH-severity 24.x fixes for 21 October; sensitive enablement stays blocked pending patch review/retest despite the fixed baseline gate passing.</w:t>
      </w:r>
    </w:p>
    <w:p>
      <w:r>
        <w:t>Hosted security advisors retain one INFO for an existing RLS table without a policy; it remains intentionally closed. See the [linter guidance](https://supabase.com/docs/guides/database/database-linter?lint=0008_rls_enabled_no_policy). That hosted result does not inspect the unapplied local schema. The [Supabase changelog](https://supabase.com/changelog) and [PostgreSQL constraint-trigger documentation](https://www.postgresql.org/docs/current/sql-createtrigger.html) were reviewed. No SDK/provider API or TLS override was added.</w:t>
      </w:r>
    </w:p>
    <w:p>
      <w:r>
        <w:t>Tool actions used repository reads, synthetic loopback tests, dependency metadata and reviewed hosted catalog/advisor reads. No credentials, private addresses, signed links or real customer/vendor evidence were printed or staged. No external message, destructive hosted probe, simulated signoff or new real account was made.</w:t>
      </w:r>
    </w:p>
    <w:p>
      <w:pPr>
        <w:pStyle w:val="Heading1"/>
      </w:pPr>
      <w:r>
        <w:t>GitHub and Vercel</w:t>
      </w:r>
    </w:p>
    <w:p>
      <w:r>
        <w:t>Review branch: codex/phase-1-role-assignments. Source commit, push/merge and current deployment evidence will be recorded after staged review. No phase is complete. Existing Production URL: https://virtual-ink.vercel.app. A Vercel build of source does not apply this SQL migration or verify hosted roles/MFA. Production private workflow acceptance remains open.</w:t>
      </w:r>
    </w:p>
    <w:p>
      <w:pPr>
        <w:pStyle w:val="Heading1"/>
      </w:pPr>
      <w:r>
        <w:t>Team actions and report checks</w:t>
      </w:r>
    </w:p>
    <w:p>
      <w:pPr>
        <w:pStyle w:val="ReportList"/>
        <w:numPr>
          <w:ilvl w:val="0"/>
          <w:numId w:val="80"/>
        </w:numPr>
      </w:pPr>
      <w:r>
        <w:t>Uchi: review the disabled schema and ROLE-BOOT-01; coordinate genuine synthetic Auth setup and the Node patch follow-up; retain all release/acceptance gates.</w:t>
      </w:r>
    </w:p>
    <w:p>
      <w:pPr>
        <w:pStyle w:val="ReportList"/>
        <w:numPr>
          <w:ilvl w:val="0"/>
          <w:numId w:val="80"/>
        </w:numPr>
      </w:pPr>
      <w:r>
        <w:t>Mumba: pair on a genuine server session/MFA boundary and scoped role-write commands, including bootstrap, concurrent revoke/grant, idempotency and audits.</w:t>
      </w:r>
    </w:p>
    <w:p>
      <w:pPr>
        <w:pStyle w:val="ReportList"/>
        <w:numPr>
          <w:ilvl w:val="0"/>
          <w:numId w:val="80"/>
        </w:numPr>
      </w:pPr>
      <w:r>
        <w:t>Taizya: specify role assignment/revocation, denied, suspended and step-up states within the existing Virtual Ink design; human UX signoff remains pending.</w:t>
      </w:r>
    </w:p>
    <w:p>
      <w:pPr>
        <w:pStyle w:val="ReportList"/>
        <w:numPr>
          <w:ilvl w:val="0"/>
          <w:numId w:val="80"/>
        </w:numPr>
      </w:pPr>
      <w:r>
        <w:t>Lubasi: confirm privileged-reviewer/recovery operations and vendor/delivery role evidence, keeping real operational records outside Git.</w:t>
      </w:r>
    </w:p>
    <w:p>
      <w:r>
        <w:t>Word uses the established compact_reference_guide preset, memo_masthead and named report-style overrides. Structural document checks pass. Rendering was attempted and failed because LibreOffice is absent (WinError 2); visual pagination remains unverified. Link/privacy checks are recorded before delivery. Report delivery is not human signoff.</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