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clean-checkout import audit</w:t>
      </w:r>
    </w:p>
    <w:p>
      <w:r>
        <w:t>Date: 19 October 2026; work began on 18 October. Phase 1 is INCOMPLETE; release remains NO-GO. This slice audits imports and clean-source reproducibility. It adds no genuine hosted Auth, private storage, order/payment service, physical-device acceptance or human signoff.</w:t>
      </w:r>
    </w:p>
    <w:p>
      <w:r>
        <w:t>&gt; Phase 1 remains incomplete. The application may be demonstrated in an isolated preview environment, but it must not be represented as fully production-ready.</w:t>
      </w:r>
    </w:p>
    <w:p>
      <w:r>
        <w:t xml:space="preserve">Final locally audited source: </w:t>
      </w:r>
      <w:r>
        <w:rPr>
          <w:rFonts w:ascii="Consolas" w:hAnsi="Consolas"/>
          <w:sz w:val="20"/>
        </w:rPr>
        <w:t>0373d7debad98f3e6574f1c333e8107436d5a569</w:t>
      </w:r>
      <w:r>
        <w:t xml:space="preserve">, including font repair </w:t>
      </w:r>
      <w:r>
        <w:rPr>
          <w:rFonts w:ascii="Consolas" w:hAnsi="Consolas"/>
          <w:sz w:val="20"/>
        </w:rPr>
        <w:t>2be6e90dedf028386788a44d08f7d35bf37cb0af</w:t>
      </w:r>
      <w:r>
        <w:t xml:space="preserve">. Deployed source: </w:t>
      </w:r>
      <w:r>
        <w:rPr>
          <w:rFonts w:ascii="Consolas" w:hAnsi="Consolas"/>
          <w:sz w:val="20"/>
        </w:rPr>
        <w:t>403fbd8a1f8e5d11977bd603dcae68427661cd19</w:t>
      </w:r>
      <w:r>
        <w:t xml:space="preserve">; its only additional change is the deployment exclusion described below. Review branch: </w:t>
      </w:r>
      <w:r>
        <w:rPr>
          <w:rFonts w:ascii="Consolas" w:hAnsi="Consolas"/>
          <w:sz w:val="20"/>
        </w:rPr>
        <w:t>codex/hosted-studio-acceptance</w:t>
      </w:r>
      <w:r>
        <w:t>. No force push or production promotion.</w:t>
      </w:r>
    </w:p>
    <w:p>
      <w:pPr>
        <w:pStyle w:val="Heading1"/>
      </w:pPr>
      <w:r>
        <w:t>Reproduced defects and repairs</w:t>
      </w:r>
    </w:p>
    <w:p>
      <w:r>
        <w:t>The initial clone at ce439da had no copied node_modules, build output, private environment files or untracked reference directory. Both locked installs passed. A source/CSS audit then demonstrated that Poppins 700 was offered by both design editors but absent from their imported font faces. The existing Poppins package was required, not unused. Its CSS import replaces the redundant route-level Space Grotesk 700 import; the root layout still loads all brand font weights. The supplied monogram, palette, geometry and typography specification are preserved.</w:t>
      </w:r>
    </w:p>
    <w:p>
      <w:r>
        <w:t>The clean root suite exposed two failures hidden in the original working tree:</w:t>
      </w:r>
    </w:p>
    <w:p>
      <w:pPr>
        <w:pStyle w:val="ReportList"/>
        <w:numPr>
          <w:ilvl w:val="0"/>
          <w:numId w:val="80"/>
        </w:numPr>
      </w:pPr>
      <w:r>
        <w:t>The broad storage/ ignore rule excluded src/backend/storage/private-files.ts from Git. The backend test could not import it; this prevented its other tests from registering and left the job probe unmeasured. The already-existing, reviewed nine-line source module is now committed. Runtime storage remains ignored at the root and nested paths; only backend TypeScript source is allowed. The module still denies file access and enables no storage or signed-URL API.</w:t>
      </w:r>
    </w:p>
    <w:p>
      <w:pPr>
        <w:pStyle w:val="ReportList"/>
        <w:numPr>
          <w:ilvl w:val="0"/>
          <w:numId w:val="80"/>
        </w:numPr>
      </w:pPr>
      <w:r>
        <w:t>Windows core.autocrlf converted the supplied HTML on checkout, adding ninety bytes and breaking its original SHA-256 assertion. A file-specific -text rule now preserves its bytes. A newly created final clone matches the original feda32323943a7a6f7d7da922ac953b5680bcb9a809803302bab91982a5b958a digest. The asset and expected provenance hash were not edited to make the test pass.</w:t>
      </w:r>
    </w:p>
    <w:p>
      <w:r>
        <w:t>The initial clone's coverage was blocked: 202 passed, two failures, 41/42 files measured. Its smaller denominator is not substituted for the complete source inventory. A focused rerun reproduced both missing-module and byte-hash failures. Final verification uses another fresh Git clone containing the actual repairs.</w:t>
      </w:r>
    </w:p>
    <w:p>
      <w:r>
        <w:t xml:space="preserve">Deployment upload inspection also found the development-only supplied HTML in the proposed upload. Commit </w:t>
      </w:r>
      <w:r>
        <w:rPr>
          <w:rFonts w:ascii="Consolas" w:hAnsi="Consolas"/>
          <w:sz w:val="20"/>
        </w:rPr>
        <w:t>403fbd8</w:t>
      </w:r>
      <w:r>
        <w:t xml:space="preserve"> excludes that exact file through .vercelignore while preserving it in Git. The final dry-run/upload contains 416 files and excludes environments, private work, dependencies, generated output, Word reports and unreviewed attachments. No supplied asset is deleted.</w:t>
      </w:r>
    </w:p>
    <w:p>
      <w:pPr>
        <w:pStyle w:val="Heading1"/>
      </w:pPr>
      <w:r>
        <w:t>Import and package evidence</w:t>
      </w:r>
    </w:p>
    <w:p>
      <w:r>
        <w:t>The private audit uses the installed TypeScript parser/resolver for literal imports/re-exports, type-only edges, local aliases, CSS imports and literal dynamic imports. It separates legitimate import/re-export pairs and type exports from duplicate imports. It checks resolved modules stay inside the audit checkout. The first-party client graph starts from use client boundaries and excludes erased type-only edges. It is not a complete third-party package or runtime dataflow audit.</w:t>
      </w:r>
    </w:p>
    <w:p>
      <w:r>
        <w:t>Next.js internally resolves server-only/client-only markers; installing their npm packages is optional. The source auditor's initial plain Node resolution misses were reviewed against [official Next.js behavior](https://nextjs.org/docs/app/getting-started/server-and-client-components#preventing-environment-poisoning) and the installed compiler aliases. The markers were retained, not bypassed. A deliberate client route importing the existing backend-access module was rejected by the real Next.js compiler with its server-only diagnostic and import trace. The temporary route and generated failed-build output are removed before the final normal build. An initial helper matcher expected different diagnostic wording; it was corrected to the actual diagnostic and rerun.</w:t>
      </w:r>
    </w:p>
    <w:p>
      <w:r>
        <w:t>The required asset inventory remains in [section 2.1](../phase-1-release-gate.md). Reused reference components are VirtualInkAnimatedLogo, VILogoSVG and vi-geometry; the brand CSS/tokens, font imports, static SVGs and existing shared UI remain in Next.js. Hero/Versions supplied design behavior, not a replacement router/App. The archive's full App, Vite bootstrap/configuration/package manifest, demo showcase and inspection plugin are excluded. React Three Fiber/Drei are not added. Existing routes, APIs, auth/storage boundaries and supplied assets are preserved.</w:t>
      </w:r>
    </w:p>
    <w:p>
      <w:r>
        <w:t>All fifteen web runtime dependency declarations have source, CSS, configuration, framework or peer usage. Supabase JS is a peer of the existing SSR adapter; React DOM is required by Next/React; PostCSS's plugin is referenced in configuration. Those are not removed merely because a literal source import is absent. No package/version/lockfile is changed, and no unjustified unused runtime package was identified. Development tools remain required by the existing build/lint/types.</w:t>
      </w:r>
    </w:p>
    <w:p>
      <w:r>
        <w:t>Modern Web Guidance search/list and the font-fallback guide were consulted. Its font-size-adjust guidance addresses DOM font metrics; this fix registers a missing canvas font face and retains the canvas's existing measurement behavior. No retrieved guide shaped an API/CSS metric change or justified a new dependency.</w:t>
      </w:r>
    </w:p>
    <w:p>
      <w:pPr>
        <w:pStyle w:val="Heading1"/>
      </w:pPr>
      <w:r>
        <w:t>Fresh final verification</w:t>
      </w:r>
    </w:p>
    <w:p>
      <w:r>
        <w:t>Results are recorded after execution; pending rows are not passes.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Scope</w:t>
            </w:r>
          </w:p>
        </w:tc>
        <w:tc>
          <w:tcPr>
            <w:tcW w:type="dxa" w:w="3100"/>
            <w:vAlign w:val="center"/>
            <w:shd w:val="clear" w:fill="E8EEF5"/>
          </w:tcPr>
          <w:p>
            <w:pPr>
              <w:pStyle w:val="ReportTableText"/>
            </w:pPr>
            <w:r>
              <w:rPr>
                <w:b/>
              </w:rPr>
              <w:t>Final result</w:t>
            </w:r>
          </w:p>
        </w:tc>
        <w:tc>
          <w:tcPr>
            <w:tcW w:type="dxa" w:w="4160"/>
            <w:vAlign w:val="center"/>
            <w:shd w:val="clear" w:fill="E8EEF5"/>
          </w:tcPr>
          <w:p>
            <w:pPr>
              <w:pStyle w:val="ReportTableText"/>
            </w:pPr>
            <w:r>
              <w:rPr>
                <w:b/>
              </w:rPr>
              <w:t>Limit</w:t>
            </w:r>
          </w:p>
        </w:tc>
      </w:tr>
      <w:tr>
        <w:trPr>
          <w:cantSplit/>
        </w:trPr>
        <w:tc>
          <w:tcPr>
            <w:tcW w:type="dxa" w:w="2100"/>
            <w:vAlign w:val="center"/>
          </w:tcPr>
          <w:p>
            <w:pPr>
              <w:pStyle w:val="ReportTableText"/>
            </w:pPr>
            <w:r>
              <w:t>Root and web npm ci --include=dev</w:t>
            </w:r>
          </w:p>
        </w:tc>
        <w:tc>
          <w:tcPr>
            <w:tcW w:type="dxa" w:w="3100"/>
            <w:vAlign w:val="center"/>
          </w:tcPr>
          <w:p>
            <w:pPr>
              <w:pStyle w:val="ReportTableText"/>
            </w:pPr>
            <w:r>
              <w:t>Pass; 169 and 71 packages added</w:t>
            </w:r>
          </w:p>
        </w:tc>
        <w:tc>
          <w:tcPr>
            <w:tcW w:type="dxa" w:w="4160"/>
            <w:vAlign w:val="center"/>
          </w:tcPr>
          <w:p>
            <w:pPr>
              <w:pStyle w:val="ReportTableText"/>
            </w:pPr>
            <w:r>
              <w:t>Fresh source; no copied dependencies/build</w:t>
            </w:r>
          </w:p>
        </w:tc>
      </w:tr>
      <w:tr>
        <w:trPr>
          <w:cantSplit/>
        </w:trPr>
        <w:tc>
          <w:tcPr>
            <w:tcW w:type="dxa" w:w="2100"/>
            <w:vAlign w:val="center"/>
          </w:tcPr>
          <w:p>
            <w:pPr>
              <w:pStyle w:val="ReportTableText"/>
            </w:pPr>
            <w:r>
              <w:t>Dependency advisories</w:t>
            </w:r>
          </w:p>
        </w:tc>
        <w:tc>
          <w:tcPr>
            <w:tcW w:type="dxa" w:w="3100"/>
            <w:vAlign w:val="center"/>
          </w:tcPr>
          <w:p>
            <w:pPr>
              <w:pStyle w:val="ReportTableText"/>
            </w:pPr>
            <w:r>
              <w:t>Both installs report zero vulnerabilities</w:t>
            </w:r>
          </w:p>
        </w:tc>
        <w:tc>
          <w:tcPr>
            <w:tcW w:type="dxa" w:w="4160"/>
            <w:vAlign w:val="center"/>
          </w:tcPr>
          <w:p>
            <w:pPr>
              <w:pStyle w:val="ReportTableText"/>
            </w:pPr>
            <w:r>
              <w:t>Runtime advisories remain separate</w:t>
            </w:r>
          </w:p>
        </w:tc>
      </w:tr>
      <w:tr>
        <w:trPr>
          <w:cantSplit/>
        </w:trPr>
        <w:tc>
          <w:tcPr>
            <w:tcW w:type="dxa" w:w="2100"/>
            <w:vAlign w:val="center"/>
          </w:tcPr>
          <w:p>
            <w:pPr>
              <w:pStyle w:val="ReportTableText"/>
            </w:pPr>
            <w:r>
              <w:t>Source/CSS module graph</w:t>
            </w:r>
          </w:p>
        </w:tc>
        <w:tc>
          <w:tcPr>
            <w:tcW w:type="dxa" w:w="3100"/>
            <w:vAlign w:val="center"/>
          </w:tcPr>
          <w:p>
            <w:pPr>
              <w:pStyle w:val="ReportTableText"/>
            </w:pPr>
            <w:r>
              <w:t>Pass; 133 files, 21 client roots, 43 reachable local modules</w:t>
            </w:r>
          </w:p>
        </w:tc>
        <w:tc>
          <w:tcPr>
            <w:tcW w:type="dxa" w:w="4160"/>
            <w:vAlign w:val="center"/>
          </w:tcPr>
          <w:p>
            <w:pPr>
              <w:pStyle w:val="ReportTableText"/>
            </w:pPr>
            <w:r>
              <w:t>No missing/outside/duplicate/unknown dynamic edges or first-party boundary findings</w:t>
            </w:r>
          </w:p>
        </w:tc>
      </w:tr>
      <w:tr>
        <w:trPr>
          <w:cantSplit/>
        </w:trPr>
        <w:tc>
          <w:tcPr>
            <w:tcW w:type="dxa" w:w="2100"/>
            <w:vAlign w:val="center"/>
          </w:tcPr>
          <w:p>
            <w:pPr>
              <w:pStyle w:val="ReportTableText"/>
            </w:pPr>
            <w:r>
              <w:t>Required font declarations</w:t>
            </w:r>
          </w:p>
        </w:tc>
        <w:tc>
          <w:tcPr>
            <w:tcW w:type="dxa" w:w="3100"/>
            <w:vAlign w:val="center"/>
          </w:tcPr>
          <w:p>
            <w:pPr>
              <w:pStyle w:val="ReportTableText"/>
            </w:pPr>
            <w:r>
              <w:t>Pass; all seven offered families registered or system-provided</w:t>
            </w:r>
          </w:p>
        </w:tc>
        <w:tc>
          <w:tcPr>
            <w:tcW w:type="dxa" w:w="4160"/>
            <w:vAlign w:val="center"/>
          </w:tcPr>
          <w:p>
            <w:pPr>
              <w:pStyle w:val="ReportTableText"/>
            </w:pPr>
            <w:r>
              <w:t>Arial/Georgia remain platform-dependent; visual approval open</w:t>
            </w:r>
          </w:p>
        </w:tc>
      </w:tr>
      <w:tr>
        <w:trPr>
          <w:cantSplit/>
        </w:trPr>
        <w:tc>
          <w:tcPr>
            <w:tcW w:type="dxa" w:w="2100"/>
            <w:vAlign w:val="center"/>
          </w:tcPr>
          <w:p>
            <w:pPr>
              <w:pStyle w:val="ReportTableText"/>
            </w:pPr>
            <w:r>
              <w:t>Negative client/server compiler test</w:t>
            </w:r>
          </w:p>
        </w:tc>
        <w:tc>
          <w:tcPr>
            <w:tcW w:type="dxa" w:w="3100"/>
            <w:vAlign w:val="center"/>
          </w:tcPr>
          <w:p>
            <w:pPr>
              <w:pStyle w:val="ReportTableText"/>
            </w:pPr>
            <w:r>
              <w:t>Pass; compiler rejects deliberate client import</w:t>
            </w:r>
          </w:p>
        </w:tc>
        <w:tc>
          <w:tcPr>
            <w:tcW w:type="dxa" w:w="4160"/>
            <w:vAlign w:val="center"/>
          </w:tcPr>
          <w:p>
            <w:pPr>
              <w:pStyle w:val="ReportTableText"/>
            </w:pPr>
            <w:r>
              <w:t>Expected failed build; temporary route/output removed, normal build passes</w:t>
            </w:r>
          </w:p>
        </w:tc>
      </w:tr>
      <w:tr>
        <w:trPr>
          <w:cantSplit/>
        </w:trPr>
        <w:tc>
          <w:tcPr>
            <w:tcW w:type="dxa" w:w="2100"/>
            <w:vAlign w:val="center"/>
          </w:tcPr>
          <w:p>
            <w:pPr>
              <w:pStyle w:val="ReportTableText"/>
            </w:pPr>
            <w:r>
              <w:t>Root tests and complete coverage</w:t>
            </w:r>
          </w:p>
        </w:tc>
        <w:tc>
          <w:tcPr>
            <w:tcW w:type="dxa" w:w="3100"/>
            <w:vAlign w:val="center"/>
          </w:tcPr>
          <w:p>
            <w:pPr>
              <w:pStyle w:val="ReportTableText"/>
            </w:pPr>
            <w:r>
              <w:t>218 passed; zero failed/skipped; 43/43 files measured</w:t>
            </w:r>
          </w:p>
        </w:tc>
        <w:tc>
          <w:tcPr>
            <w:tcW w:type="dxa" w:w="4160"/>
            <w:vAlign w:val="center"/>
          </w:tcPr>
          <w:p>
            <w:pPr>
              <w:pStyle w:val="ReportTableText"/>
            </w:pPr>
            <w:r>
              <w:t>Backend/shared unit scope only</w:t>
            </w:r>
          </w:p>
        </w:tc>
      </w:tr>
      <w:tr>
        <w:trPr>
          <w:cantSplit/>
        </w:trPr>
        <w:tc>
          <w:tcPr>
            <w:tcW w:type="dxa" w:w="2100"/>
            <w:vAlign w:val="center"/>
          </w:tcPr>
          <w:p>
            <w:pPr>
              <w:pStyle w:val="ReportTableText"/>
            </w:pPr>
            <w:r>
              <w:t>Web/security/Auth contract tests</w:t>
            </w:r>
          </w:p>
        </w:tc>
        <w:tc>
          <w:tcPr>
            <w:tcW w:type="dxa" w:w="3100"/>
            <w:vAlign w:val="center"/>
          </w:tcPr>
          <w:p>
            <w:pPr>
              <w:pStyle w:val="ReportTableText"/>
            </w:pPr>
            <w:r>
              <w:t>44 / 197 / 16 passed; zero failed/skipped</w:t>
            </w:r>
          </w:p>
        </w:tc>
        <w:tc>
          <w:tcPr>
            <w:tcW w:type="dxa" w:w="4160"/>
            <w:vAlign w:val="center"/>
          </w:tcPr>
          <w:p>
            <w:pPr>
              <w:pStyle w:val="ReportTableText"/>
            </w:pPr>
            <w:r>
              <w:t>No genuine hosted service acceptance or new SQL execution</w:t>
            </w:r>
          </w:p>
        </w:tc>
      </w:tr>
      <w:tr>
        <w:trPr>
          <w:cantSplit/>
        </w:trPr>
        <w:tc>
          <w:tcPr>
            <w:tcW w:type="dxa" w:w="2100"/>
            <w:vAlign w:val="center"/>
          </w:tcPr>
          <w:p>
            <w:pPr>
              <w:pStyle w:val="ReportTableText"/>
            </w:pPr>
            <w:r>
              <w:t>Types, lint and production build</w:t>
            </w:r>
          </w:p>
        </w:tc>
        <w:tc>
          <w:tcPr>
            <w:tcW w:type="dxa" w:w="3100"/>
            <w:vAlign w:val="center"/>
          </w:tcPr>
          <w:p>
            <w:pPr>
              <w:pStyle w:val="ReportTableText"/>
            </w:pPr>
            <w:r>
              <w:t>Web and strict backend/shared types, lint/build pass</w:t>
            </w:r>
          </w:p>
        </w:tc>
        <w:tc>
          <w:tcPr>
            <w:tcW w:type="dxa" w:w="4160"/>
            <w:vAlign w:val="center"/>
          </w:tcPr>
          <w:p>
            <w:pPr>
              <w:pStyle w:val="ReportTableText"/>
            </w:pPr>
            <w:r>
              <w:t>Local profile; sensitive services disabled</w:t>
            </w:r>
          </w:p>
        </w:tc>
      </w:tr>
      <w:tr>
        <w:trPr>
          <w:cantSplit/>
        </w:trPr>
        <w:tc>
          <w:tcPr>
            <w:tcW w:type="dxa" w:w="2100"/>
            <w:vAlign w:val="center"/>
          </w:tcPr>
          <w:p>
            <w:pPr>
              <w:pStyle w:val="ReportTableText"/>
            </w:pPr>
            <w:r>
              <w:t>Local assets/client artifacts</w:t>
            </w:r>
          </w:p>
        </w:tc>
        <w:tc>
          <w:tcPr>
            <w:tcW w:type="dxa" w:w="3100"/>
            <w:vAlign w:val="center"/>
          </w:tcPr>
          <w:p>
            <w:pPr>
              <w:pStyle w:val="ReportTableText"/>
            </w:pPr>
            <w:r>
              <w:t>64 HTTP byte matches; 68 JS/CSS artifacts checked</w:t>
            </w:r>
          </w:p>
        </w:tc>
        <w:tc>
          <w:tcPr>
            <w:tcW w:type="dxa" w:w="4160"/>
            <w:vAlign w:val="center"/>
          </w:tcPr>
          <w:p>
            <w:pPr>
              <w:pStyle w:val="ReportTableText"/>
            </w:pPr>
            <w:r>
              <w:t>39 public assets and 25 font files; local heuristic only</w:t>
            </w:r>
          </w:p>
        </w:tc>
      </w:tr>
      <w:tr>
        <w:trPr>
          <w:cantSplit/>
        </w:trPr>
        <w:tc>
          <w:tcPr>
            <w:tcW w:type="dxa" w:w="2100"/>
            <w:vAlign w:val="center"/>
          </w:tcPr>
          <w:p>
            <w:pPr>
              <w:pStyle w:val="ReportTableText"/>
            </w:pPr>
            <w:r>
              <w:t>Actual Vercel Preview build</w:t>
            </w:r>
          </w:p>
        </w:tc>
        <w:tc>
          <w:tcPr>
            <w:tcW w:type="dxa" w:w="3100"/>
            <w:vAlign w:val="center"/>
          </w:tcPr>
          <w:p>
            <w:pPr>
              <w:pStyle w:val="ReportTableText"/>
            </w:pPr>
            <w:r>
              <w:t>READY; Preview environment confirmed; cache skipped</w:t>
            </w:r>
          </w:p>
        </w:tc>
        <w:tc>
          <w:tcPr>
            <w:tcW w:type="dxa" w:w="4160"/>
            <w:vAlign w:val="center"/>
          </w:tcPr>
          <w:p>
            <w:pPr>
              <w:pStyle w:val="ReportTableText"/>
            </w:pPr>
            <w:r>
              <w:t>UI-only; hosted visual/service acceptance unverified</w:t>
            </w:r>
          </w:p>
        </w:tc>
      </w:tr>
    </w:tbl>
    <w:p>
      <w:pPr>
        <w:spacing w:after="80"/>
      </w:pPr>
    </w:p>
    <w:p>
      <w:r>
        <w:t xml:space="preserve">Exact backend/shared coverage: lines </w:t>
      </w:r>
      <w:r>
        <w:rPr>
          <w:b/>
        </w:rPr>
        <w:t>2473/2492 (99.24%)</w:t>
      </w:r>
      <w:r>
        <w:t xml:space="preserve">, branches </w:t>
      </w:r>
      <w:r>
        <w:rPr>
          <w:b/>
        </w:rPr>
        <w:t>1883/1950 (96.56%)</w:t>
      </w:r>
      <w:r>
        <w:t xml:space="preserve">, functions </w:t>
      </w:r>
      <w:r>
        <w:rPr>
          <w:b/>
        </w:rPr>
        <w:t>239/242 (98.76%)</w:t>
      </w:r>
      <w:r>
        <w:t>. All meet the 95% target. The inventory includes the restored storage module and all 43 scoped files. Frontend/browser flows, SQL, hosted integrations and src/server.js lifecycle are outside this denominator; these percentages do not cover them.</w:t>
      </w:r>
    </w:p>
    <w:p>
      <w:r>
        <w:t>All 39 public files and 25 emitted WOFF2 files return identical SHA-256 bytes over loopback. The 68 local client JS/CSS artifacts total 1,871,623 bytes; the repository's secret-text heuristic reports no findings. This is a bounded heuristic, not proof that every possible credential or runtime dataflow is safe. The fresh clone is clean after checks. Source security heuristics pass with 355 scanned and 108 skipped files. The Node 24.21.0 baseline check passes.</w:t>
      </w:r>
    </w:p>
    <w:p>
      <w:r>
        <w:t>Commands use reviewed Node 24.21.0 and the existing npm scripts. The build uses one page-generation worker and a 512 MB heap to accommodate the workstation. The user's working next-env.d.ts is outside both clones and is preserved; clone generated types are restored after checks. The audit's first package-lock parser needed hashtable handling for npm's empty root key; a later private switch placement was also corrected. Neither helper failure is an application defect or a successful install/test result.</w:t>
      </w:r>
    </w:p>
    <w:p>
      <w:pPr>
        <w:pStyle w:val="Heading1"/>
      </w:pPr>
      <w:r>
        <w:t>Hosting and release boundary</w:t>
      </w:r>
    </w:p>
    <w:p>
      <w:r>
        <w:t>An explicit Preview request to the existing protected Shadow Root UI test project used committed-source upload inspection, no build cache and existing credential-free ui_test flags. It promoted no production alias and enabled no business integration. The original live project, the full-service acceptance project, secrets, database/storage policies, DNS and live payment configuration are untouched.</w:t>
      </w:r>
    </w:p>
    <w:p>
      <w:r>
        <w:t xml:space="preserve">The [protected Preview](https://virtual-ink-ui-test-68245umm7-shadowrootsec-5679.vercel.app) is deployment </w:t>
      </w:r>
      <w:r>
        <w:rPr>
          <w:rFonts w:ascii="Consolas" w:hAnsi="Consolas"/>
          <w:sz w:val="20"/>
        </w:rPr>
        <w:t>dpl_95vR5twYfciXGdNktgUHaU9JyiJM</w:t>
      </w:r>
      <w:r>
        <w:t xml:space="preserve">, project </w:t>
      </w:r>
      <w:r>
        <w:rPr>
          <w:rFonts w:ascii="Consolas" w:hAnsi="Consolas"/>
          <w:sz w:val="20"/>
        </w:rPr>
        <w:t>prj_aqLrX1gsSVb1XINH5YNGkp1aYazH</w:t>
      </w:r>
      <w:r>
        <w:t xml:space="preserve">, source </w:t>
      </w:r>
      <w:r>
        <w:rPr>
          <w:rFonts w:ascii="Consolas" w:hAnsi="Consolas"/>
          <w:sz w:val="20"/>
        </w:rPr>
        <w:t>403fbd8a1f8e5d11977bd603dcae68427661cd19</w:t>
      </w:r>
      <w:r>
        <w:t>. Read-only metadata rechecked on 19 October confirms READY, buildSkipped=false, Preview environment and empty alias/automaticAliases arrays. The API's raw target is null, while its environment claim is preview; it is not relabelled Production. The deployment helper expected the literal target string preview and stopped after creation. This was a helper assertion mismatch, not a failed build; direct inspection established the result without redeploying or weakening a guard.</w:t>
      </w:r>
    </w:p>
    <w:p>
      <w:r>
        <w:t>Retrieved build logs confirm cache skipped, 416 files downloaded, both locked installs, zero npm vulnerabilities, passing ui_test isolation and source lint, successful Next.js 16.4.0 compilation and completed deployment. npm reports a nonfatal unknown cache-dir configuration warning. The local clone emits an existing typeless-package warning; neither warning is hidden as a test failure.</w:t>
      </w:r>
    </w:p>
    <w:p>
      <w:r>
        <w:t>The in-app browser is unavailable in this session. The existing Shadow Root Chrome profile reaches a connection-timeout page; a reload also times out. Its DOM-snapshot method additionally reports a tooling incompatibility. No hosted visual, lazy-logo, device, file-picker or client-bundle acceptance is claimed. Browser tabs were finalized without retaining the failed audit tab. Section A remains open for runtime/fallback/visual and hosted bundle evidence; the actual fresh Preview build sub-check now has evidence. Full-service acceptance hosting is a separate unresolved target and remains unchanged.</w:t>
      </w:r>
    </w:p>
    <w:p>
      <w:r>
        <w:t>The CLI homepage probe also fails to connect and supplies no application response. Its first attempt used an unsupported forwarded non-interactive flag; the corrected attempt reaches the network step. Vercel curl automatically generated a managed project protection-bypass token, then timed out. No token value was printed, copied into source/report, or used to weaken the application guard. This automatic CLI credential action is disclosed; operator review of its lifecycle remains open. No further bypass-token or project-configuration changes were attempted.</w:t>
      </w:r>
    </w:p>
    <w:p>
      <w:pPr>
        <w:pStyle w:val="Heading1"/>
      </w:pPr>
      <w:r>
        <w:t>Scoped security review and limits</w:t>
      </w:r>
    </w:p>
    <w:p>
      <w:r>
        <w:t>The controlled negative import tests an actual build boundary, not a hidden UI control. Restoring the source module does not grant file access. Runtime-storage ignore probes use nonexistent synthetic filenames; root/nested data remain ignored. No customer artwork, token, credential, signed URL or private vendor evidence is used or placed in Git/reports. Raw logs and temporary artifacts stay private. Tool/page/document output is treated as untrusted; no source code is replaced by the demonstration App and no gate is weakened to pass a test.</w:t>
      </w:r>
    </w:p>
    <w:p>
      <w:r>
        <w:t>The [official Node notice](https://nodejs.org/en/blog/vulnerability/october-2026-security-releases) was rechecked on 19 October: HIGH fixes for 24.x remain scheduled on or shortly after 21 October. A runtime baseline pass or zero npm advisories does not clear that gate. The skill corpus remains unreviewed; source/asset heuristics are not a history-wide secret audit or workstation/provider/system pentest. Hosted Auth, scanner/quarantine, real tenant/file controls, server prices/orders/proofs/payments, supplier-matched models and physical-device acceptance remain open.</w:t>
      </w:r>
    </w:p>
    <w:p>
      <w:pPr>
        <w:pStyle w:val="Heading1"/>
      </w:pPr>
      <w:r>
        <w:t>Team actions and rollback</w:t>
      </w:r>
    </w:p>
    <w:p>
      <w:pPr>
        <w:pStyle w:val="ReportList"/>
        <w:numPr>
          <w:ilvl w:val="0"/>
          <w:numId w:val="80"/>
        </w:numPr>
      </w:pPr>
      <w:r>
        <w:t>Uchi: review the exact-source import evidence and actual Preview result; keep release NO-GO until all section 2.1 evidence and explicit authorization exist; review the CLI-managed protection-token lifecycle privately.</w:t>
      </w:r>
    </w:p>
    <w:p>
      <w:pPr>
        <w:pStyle w:val="ReportList"/>
        <w:numPr>
          <w:ilvl w:val="0"/>
          <w:numId w:val="80"/>
        </w:numPr>
      </w:pPr>
      <w:r>
        <w:t>Mumba: resolve the compatible isolated Auth/MFA target and the next secure integration slice, retaining genuine success/denial evidence.</w:t>
      </w:r>
    </w:p>
    <w:p>
      <w:pPr>
        <w:pStyle w:val="ReportList"/>
        <w:numPr>
          <w:ilvl w:val="0"/>
          <w:numId w:val="80"/>
        </w:numPr>
      </w:pPr>
      <w:r>
        <w:t>Taizya: verify actual font/render/fallback behavior across the required physical device/network/input matrix, then continue keyboard/zoom/screen-reader checks.</w:t>
      </w:r>
    </w:p>
    <w:p>
      <w:pPr>
        <w:pStyle w:val="ReportList"/>
        <w:numPr>
          <w:ilvl w:val="0"/>
          <w:numId w:val="80"/>
        </w:numPr>
      </w:pPr>
      <w:r>
        <w:t>Lubasi: provide supplier model/asset rights, stock/price/measurements and vendor upload/retention/payment/delivery policies; identify available physical devices.</w:t>
      </w:r>
    </w:p>
    <w:p>
      <w:r>
        <w:t>Rollback only the affected reviewed source in a follow-up review commit, preserving the original supplied assets and user work. Do not restore the missing-module, reference-corruption or missing-font defects without documenting the regression. No production promotion occurred. UI Preview rollback, if needed, is another reviewed Preview deployment without alias promotion; this is an instruction, not the required production rollback rehearsal. No phase completion, push or human signoff is claimed. The matching Word report uses the existing compact reference guide preset and memo masthead. The generator's structural/table geometry audit passes. Separate QA passes seven Markdown files, 307 local links, Word ZIP/XML, table/numbering and scoped privacy; all 27 integration classifications and fourteen open release conditions are preserved. The canonical renderer was attempted and fails because its LibreOffice executable is unavailable (WinError 2). No page PNGs or visual Word acceptance are claimed. Local handover changes are committed separately from the deployed source; no GitHub push or production promotion occurs.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