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hosted measurement verification</w:t>
      </w:r>
    </w:p>
    <w:p>
      <w:r>
        <w:t xml:space="preserve">Date: 20 October 2026. Phase 1 is </w:t>
      </w:r>
      <w:r>
        <w:rPr>
          <w:b/>
        </w:rPr>
        <w:t>INCOMPLETE</w:t>
      </w:r>
      <w:r>
        <w:t xml:space="preserve">, release </w:t>
      </w:r>
      <w:r>
        <w:rPr>
          <w:b/>
        </w:rPr>
        <w:t>NO-GO</w:t>
      </w:r>
      <w:r>
        <w:t>. This records sampled native interactions on the existing protected UI-only Preview, with unresolved session interruptions. It is not full studio, device, secure-service or human acceptance. No application code or deployment is changed.</w:t>
      </w:r>
    </w:p>
    <w:p>
      <w:pPr>
        <w:pStyle w:val="Heading1"/>
      </w:pPr>
      <w:r>
        <w:t>Source, target and pasted probe</w:t>
      </w:r>
    </w:p>
    <w:p>
      <w:r>
        <w:t xml:space="preserve">The [protected Preview studio](https://virtual-ink-ui-test-9q6c3g2gm-shadowrootsec-5679.vercel.app/studio) uses source </w:t>
      </w:r>
      <w:r>
        <w:rPr>
          <w:rFonts w:ascii="Consolas" w:hAnsi="Consolas"/>
          <w:sz w:val="20"/>
        </w:rPr>
        <w:t>f244056c04764b8fa64ade456ff203a64241728a</w:t>
      </w:r>
      <w:r>
        <w:t xml:space="preserve">, deployment </w:t>
      </w:r>
      <w:r>
        <w:rPr>
          <w:rFonts w:ascii="Consolas" w:hAnsi="Consolas"/>
          <w:sz w:val="20"/>
        </w:rPr>
        <w:t>dpl_2KERHs2cuxBMRupxNh99djXT1nwg</w:t>
      </w:r>
      <w:r>
        <w:t>. Metadata refreshed at 2026-10-20T14:03:27Z confirms READY, environment preview, raw target null, buildSkipped false, zero aliases/automatic aliases and no automation-bypass binding. Existing logs still show fresh locked installation, isolation, source lint, compilation and Build Completed. This is a read-only refresh of the previous build, not a new build or service enablement.</w:t>
      </w:r>
    </w:p>
    <w:p>
      <w:r>
        <w:t>The user's repeated minus-prefixed HTTP-test line was checked against the actual files. The private probe has one loop and already expects data-logo-state="static" on the homepage. No current script contains data-studio-preview-state. The tracked brand SSR check also expects the logo attribute. No duplicate deletion, marker change or unrelated application change was needed. The earlier helper-prefix repair remains intact. These HTTP probes were not rerun during this browser-only follow-up, and their old loopback results are not relabelled hosted checks.</w:t>
      </w:r>
    </w:p>
    <w:p>
      <w:pPr>
        <w:pStyle w:val="Heading1"/>
      </w:pPr>
      <w:r>
        <w:t>Observed native results</w:t>
      </w:r>
    </w:p>
    <w:p>
      <w:r>
        <w:t>Tests used a fresh agent-created tab in the existing Shadow Chrome profile and synthetic default text only. No draft was saved, file attached, reference downloaded or real customer content entered. DOM reads confirmed five labelled number inputs, explicit units and native product-zone min/max constraints.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Hosted observation</w:t>
            </w:r>
          </w:p>
        </w:tc>
        <w:tc>
          <w:tcPr>
            <w:tcW w:type="dxa" w:w="3100"/>
            <w:vAlign w:val="center"/>
            <w:shd w:val="clear" w:fill="E8EEF5"/>
          </w:tcPr>
          <w:p>
            <w:pPr>
              <w:pStyle w:val="ReportTableText"/>
            </w:pPr>
            <w:r>
              <w:rPr>
                <w:b/>
              </w:rPr>
              <w:t>Actual result</w:t>
            </w:r>
          </w:p>
        </w:tc>
        <w:tc>
          <w:tcPr>
            <w:tcW w:type="dxa" w:w="4160"/>
            <w:vAlign w:val="center"/>
            <w:shd w:val="clear" w:fill="E8EEF5"/>
          </w:tcPr>
          <w:p>
            <w:pPr>
              <w:pStyle w:val="ReportTableText"/>
            </w:pPr>
            <w:r>
              <w:rPr>
                <w:b/>
              </w:rPr>
              <w:t>Scope</w:t>
            </w:r>
          </w:p>
        </w:tc>
      </w:tr>
      <w:tr>
        <w:trPr>
          <w:cantSplit/>
        </w:trPr>
        <w:tc>
          <w:tcPr>
            <w:tcW w:type="dxa" w:w="2100"/>
            <w:vAlign w:val="center"/>
          </w:tcPr>
          <w:p>
            <w:pPr>
              <w:pStyle w:val="ReportTableText"/>
            </w:pPr>
            <w:r>
              <w:t>Labels, units and limits</w:t>
            </w:r>
          </w:p>
        </w:tc>
        <w:tc>
          <w:tcPr>
            <w:tcW w:type="dxa" w:w="3100"/>
            <w:vAlign w:val="center"/>
          </w:tcPr>
          <w:p>
            <w:pPr>
              <w:pStyle w:val="ReportTableText"/>
            </w:pPr>
            <w:r>
              <w:t>Present for all five measurement fields</w:t>
            </w:r>
          </w:p>
        </w:tc>
        <w:tc>
          <w:tcPr>
            <w:tcW w:type="dxa" w:w="4160"/>
            <w:vAlign w:val="center"/>
          </w:tcPr>
          <w:p>
            <w:pPr>
              <w:pStyle w:val="ReportTableText"/>
            </w:pPr>
            <w:r>
              <w:t>Crew-unisex reference study</w:t>
            </w:r>
          </w:p>
        </w:tc>
      </w:tr>
      <w:tr>
        <w:trPr>
          <w:cantSplit/>
        </w:trPr>
        <w:tc>
          <w:tcPr>
            <w:tcW w:type="dxa" w:w="2100"/>
            <w:vAlign w:val="center"/>
          </w:tcPr>
          <w:p>
            <w:pPr>
              <w:pStyle w:val="ReportTableText"/>
            </w:pPr>
            <w:r>
              <w:t>Decimal Apply</w:t>
            </w:r>
          </w:p>
        </w:tc>
        <w:tc>
          <w:tcPr>
            <w:tcW w:type="dxa" w:w="3100"/>
            <w:vAlign w:val="center"/>
          </w:tcPr>
          <w:p>
            <w:pPr>
              <w:pStyle w:val="ReportTableText"/>
            </w:pPr>
            <w:r>
              <w:t>x 110.25, y 150.75, width 88.5, height 29.5, rotation -12.5 displayed; success status</w:t>
            </w:r>
          </w:p>
        </w:tc>
        <w:tc>
          <w:tcPr>
            <w:tcW w:type="dxa" w:w="4160"/>
            <w:vAlign w:val="center"/>
          </w:tcPr>
          <w:p>
            <w:pPr>
              <w:pStyle w:val="ReportTableText"/>
            </w:pPr>
            <w:r>
              <w:t>First editing pass, before interruption</w:t>
            </w:r>
          </w:p>
        </w:tc>
      </w:tr>
      <w:tr>
        <w:trPr>
          <w:cantSplit/>
        </w:trPr>
        <w:tc>
          <w:tcPr>
            <w:tcW w:type="dxa" w:w="2100"/>
            <w:vAlign w:val="center"/>
          </w:tcPr>
          <w:p>
            <w:pPr>
              <w:pStyle w:val="ReportTableText"/>
            </w:pPr>
            <w:r>
              <w:t>Range denial</w:t>
            </w:r>
          </w:p>
        </w:tc>
        <w:tc>
          <w:tcPr>
            <w:tcW w:type="dxa" w:w="3100"/>
            <w:vAlign w:val="center"/>
          </w:tcPr>
          <w:p>
            <w:pPr>
              <w:pStyle w:val="ReportTableText"/>
            </w:pPr>
            <w:r>
              <w:t>Width 0 is range-invalid; native focus moves to width; committed width stays 140</w:t>
            </w:r>
          </w:p>
        </w:tc>
        <w:tc>
          <w:tcPr>
            <w:tcW w:type="dxa" w:w="4160"/>
            <w:vAlign w:val="center"/>
          </w:tcPr>
          <w:p>
            <w:pPr>
              <w:pStyle w:val="ReportTableText"/>
            </w:pPr>
            <w:r>
              <w:t>Clean second pass</w:t>
            </w:r>
          </w:p>
        </w:tc>
      </w:tr>
      <w:tr>
        <w:trPr>
          <w:cantSplit/>
        </w:trPr>
        <w:tc>
          <w:tcPr>
            <w:tcW w:type="dxa" w:w="2100"/>
            <w:vAlign w:val="center"/>
          </w:tcPr>
          <w:p>
            <w:pPr>
              <w:pStyle w:val="ReportTableText"/>
            </w:pPr>
            <w:r>
              <w:t>Required-field denial</w:t>
            </w:r>
          </w:p>
        </w:tc>
        <w:tc>
          <w:tcPr>
            <w:tcW w:type="dxa" w:w="3100"/>
            <w:vAlign w:val="center"/>
          </w:tcPr>
          <w:p>
            <w:pPr>
              <w:pStyle w:val="ReportTableText"/>
            </w:pPr>
            <w:r>
              <w:t>Keyboard clear makes width required-invalid; focus stays on width; committed geometry unchanged</w:t>
            </w:r>
          </w:p>
        </w:tc>
        <w:tc>
          <w:tcPr>
            <w:tcW w:type="dxa" w:w="4160"/>
            <w:vAlign w:val="center"/>
          </w:tcPr>
          <w:p>
            <w:pPr>
              <w:pStyle w:val="ReportTableText"/>
            </w:pPr>
            <w:r>
              <w:t>Control+A/Backspace, not fill-empty inference</w:t>
            </w:r>
          </w:p>
        </w:tc>
      </w:tr>
      <w:tr>
        <w:trPr>
          <w:cantSplit/>
        </w:trPr>
        <w:tc>
          <w:tcPr>
            <w:tcW w:type="dxa" w:w="2100"/>
            <w:vAlign w:val="center"/>
          </w:tcPr>
          <w:p>
            <w:pPr>
              <w:pStyle w:val="ReportTableText"/>
            </w:pPr>
            <w:r>
              <w:t>Enter Apply</w:t>
            </w:r>
          </w:p>
        </w:tc>
        <w:tc>
          <w:tcPr>
            <w:tcW w:type="dxa" w:w="3100"/>
            <w:vAlign w:val="center"/>
          </w:tcPr>
          <w:p>
            <w:pPr>
              <w:pStyle w:val="ReportTableText"/>
            </w:pPr>
            <w:r>
              <w:t>Width 92.25 applied with success status</w:t>
            </w:r>
          </w:p>
        </w:tc>
        <w:tc>
          <w:tcPr>
            <w:tcW w:type="dxa" w:w="4160"/>
            <w:vAlign w:val="center"/>
          </w:tcPr>
          <w:p>
            <w:pPr>
              <w:pStyle w:val="ReportTableText"/>
            </w:pPr>
            <w:r>
              <w:t>Clean second pass</w:t>
            </w:r>
          </w:p>
        </w:tc>
      </w:tr>
      <w:tr>
        <w:trPr>
          <w:cantSplit/>
        </w:trPr>
        <w:tc>
          <w:tcPr>
            <w:tcW w:type="dxa" w:w="2100"/>
            <w:vAlign w:val="center"/>
          </w:tcPr>
          <w:p>
            <w:pPr>
              <w:pStyle w:val="ReportTableText"/>
            </w:pPr>
            <w:r>
              <w:t>Reset entries</w:t>
            </w:r>
          </w:p>
        </w:tc>
        <w:tc>
          <w:tcPr>
            <w:tcW w:type="dxa" w:w="3100"/>
            <w:vAlign w:val="center"/>
          </w:tcPr>
          <w:p>
            <w:pPr>
              <w:pStyle w:val="ReportTableText"/>
            </w:pPr>
            <w:r>
              <w:t>Unsubmitted width 101.3 resets to committed 92.25</w:t>
            </w:r>
          </w:p>
        </w:tc>
        <w:tc>
          <w:tcPr>
            <w:tcW w:type="dxa" w:w="4160"/>
            <w:vAlign w:val="center"/>
          </w:tcPr>
          <w:p>
            <w:pPr>
              <w:pStyle w:val="ReportTableText"/>
            </w:pPr>
            <w:r>
              <w:t>No new design edit</w:t>
            </w:r>
          </w:p>
        </w:tc>
      </w:tr>
      <w:tr>
        <w:trPr>
          <w:cantSplit/>
        </w:trPr>
        <w:tc>
          <w:tcPr>
            <w:tcW w:type="dxa" w:w="2100"/>
            <w:vAlign w:val="center"/>
          </w:tcPr>
          <w:p>
            <w:pPr>
              <w:pStyle w:val="ReportTableText"/>
            </w:pPr>
            <w:r>
              <w:t>Undo</w:t>
            </w:r>
          </w:p>
        </w:tc>
        <w:tc>
          <w:tcPr>
            <w:tcW w:type="dxa" w:w="3100"/>
            <w:vAlign w:val="center"/>
          </w:tcPr>
          <w:p>
            <w:pPr>
              <w:pStyle w:val="ReportTableText"/>
            </w:pPr>
            <w:r>
              <w:t>Committed width returns to 140 after selecting the retained synthetic layer</w:t>
            </w:r>
          </w:p>
        </w:tc>
        <w:tc>
          <w:tcPr>
            <w:tcW w:type="dxa" w:w="4160"/>
            <w:vAlign w:val="center"/>
          </w:tcPr>
          <w:p>
            <w:pPr>
              <w:pStyle w:val="ReportTableText"/>
            </w:pPr>
            <w:r>
              <w:t>Second pass only</w:t>
            </w:r>
          </w:p>
        </w:tc>
      </w:tr>
      <w:tr>
        <w:trPr>
          <w:cantSplit/>
        </w:trPr>
        <w:tc>
          <w:tcPr>
            <w:tcW w:type="dxa" w:w="2100"/>
            <w:vAlign w:val="center"/>
          </w:tcPr>
          <w:p>
            <w:pPr>
              <w:pStyle w:val="ReportTableText"/>
            </w:pPr>
            <w:r>
              <w:t>Redo</w:t>
            </w:r>
          </w:p>
        </w:tc>
        <w:tc>
          <w:tcPr>
            <w:tcW w:type="dxa" w:w="3100"/>
            <w:vAlign w:val="center"/>
          </w:tcPr>
          <w:p>
            <w:pPr>
              <w:pStyle w:val="ReportTableText"/>
            </w:pPr>
            <w:r>
              <w:t>Width returns to 92.25 after selecting the layer again</w:t>
            </w:r>
          </w:p>
        </w:tc>
        <w:tc>
          <w:tcPr>
            <w:tcW w:type="dxa" w:w="4160"/>
            <w:vAlign w:val="center"/>
          </w:tcPr>
          <w:p>
            <w:pPr>
              <w:pStyle w:val="ReportTableText"/>
            </w:pPr>
            <w:r>
              <w:t>Second pass only</w:t>
            </w:r>
          </w:p>
        </w:tc>
      </w:tr>
      <w:tr>
        <w:trPr>
          <w:cantSplit/>
        </w:trPr>
        <w:tc>
          <w:tcPr>
            <w:tcW w:type="dxa" w:w="2100"/>
            <w:vAlign w:val="center"/>
          </w:tcPr>
          <w:p>
            <w:pPr>
              <w:pStyle w:val="ReportTableText"/>
            </w:pPr>
            <w:r>
              <w:t>Viewer status</w:t>
            </w:r>
          </w:p>
        </w:tc>
        <w:tc>
          <w:tcPr>
            <w:tcW w:type="dxa" w:w="3100"/>
            <w:vAlign w:val="center"/>
          </w:tcPr>
          <w:p>
            <w:pPr>
              <w:pStyle w:val="ReportTableText"/>
            </w:pPr>
            <w:r>
              <w:t>3D ready observed during these interactions</w:t>
            </w:r>
          </w:p>
        </w:tc>
        <w:tc>
          <w:tcPr>
            <w:tcW w:type="dxa" w:w="4160"/>
            <w:vAlign w:val="center"/>
          </w:tcPr>
          <w:p>
            <w:pPr>
              <w:pStyle w:val="ReportTableText"/>
            </w:pPr>
            <w:r>
              <w:t>No full visual, forced-WebGL or memory acceptance</w:t>
            </w:r>
          </w:p>
        </w:tc>
      </w:tr>
      <w:tr>
        <w:trPr>
          <w:cantSplit/>
        </w:trPr>
        <w:tc>
          <w:tcPr>
            <w:tcW w:type="dxa" w:w="2100"/>
            <w:vAlign w:val="center"/>
          </w:tcPr>
          <w:p>
            <w:pPr>
              <w:pStyle w:val="ReportTableText"/>
            </w:pPr>
            <w:r>
              <w:t>Uninterrupted workflow</w:t>
            </w:r>
          </w:p>
        </w:tc>
        <w:tc>
          <w:tcPr>
            <w:tcW w:type="dxa" w:w="3100"/>
            <w:vAlign w:val="center"/>
          </w:tcPr>
          <w:p>
            <w:pPr>
              <w:pStyle w:val="ReportTableText"/>
            </w:pPr>
            <w:r>
              <w:t>Unresolved; two state interruptions</w:t>
            </w:r>
          </w:p>
        </w:tc>
        <w:tc>
          <w:tcPr>
            <w:tcW w:type="dxa" w:w="4160"/>
            <w:vAlign w:val="center"/>
          </w:tcPr>
          <w:p>
            <w:pPr>
              <w:pStyle w:val="ReportTableText"/>
            </w:pPr>
            <w:r>
              <w:t>See details below; no clean full journey claimed</w:t>
            </w:r>
          </w:p>
        </w:tc>
      </w:tr>
    </w:tbl>
    <w:p>
      <w:pPr>
        <w:spacing w:after="80"/>
      </w:pPr>
    </w:p>
    <w:p>
      <w:r>
        <w:t>The first Apply pass succeeded, then a later field lookup timed out. A fresh DOM and URL read showed the homepage at the same deployment's root. No navigation action to the homepage had been requested by this test. The browser returned to the known studio route for a clean second pass, which completed the native denial, Enter, reset and width-history checks above.</w:t>
      </w:r>
    </w:p>
    <w:p>
      <w:r>
        <w:t>Later, before a proposed minimum-size/fallback check could execute, the width locator timed out again. This time the URL remained /studio, but the layer list contained only Select a layer, Undo/Redo were disabled, and the initial status message had returned. No selected layer or history remained. Bounded captured application warning/error reads returned an empty list at that moment. This does not prove the absence of console/network issues or identify the cause.</w:t>
      </w:r>
    </w:p>
    <w:p>
      <w:r>
        <w:t xml:space="preserve">The cause of the navigation/reset is </w:t>
      </w:r>
      <w:r>
        <w:rPr>
          <w:b/>
        </w:rPr>
        <w:t>unresolved</w:t>
      </w:r>
      <w:r>
        <w:t>. These observations do not establish an application defect, user action, provider fault or security breach. The optional question about concurrent user navigation was still unanswered at handover. Further input, stable-session reproduction and evidence are needed before uninterrupted or durability acceptance. Browser tooling emitted its own network/telemetry warnings; these were not treated as application console errors, instructions or proof of the reset cause. Raw telemetry identifiers are omitted. The agent-created review tab was closed successfully after evidence collection.</w:t>
      </w:r>
    </w:p>
    <w:p>
      <w:pPr>
        <w:pStyle w:val="Heading1"/>
      </w:pPr>
      <w:r>
        <w:t>Verification limits and security</w:t>
      </w:r>
    </w:p>
    <w:p>
      <w:r>
        <w:t>Hosted minimum-size rejection, layout/3D preservation, forced failures, screen readers, complete keyboard navigation, uploads, persistence and physical devices were not completed by this follow-up. No source change, new build, promotion, production alias, environment/bypass credential, service grant or provider configuration was made. UI-only Auth/database/storage/orders/payments remain disabled; no access-control or human-acceptance gate is relaxed.</w:t>
      </w:r>
    </w:p>
    <w:p>
      <w:r>
        <w:t>Native width underflow and empty required input were rejected while the committed geometry remained unchanged. Those are local-editor input checks on hosted code, not a server authority boundary. The session interruptions could disrupt unsaved work; exact prerequisites, repeatability and impact are not established. Do not close that concern by assuming a cause. No remote exploit, cross-user disclosure or tenant/file bypass was reproduced. Browser/document output was treated as untrusted data; no instruction, credential or diagnostic-link action was followed. This is scoped application verification, not an OS/provider/production pentest.</w:t>
      </w:r>
    </w:p>
    <w:p>
      <w:r>
        <w:t>No root, web, Auth or SQL test suite or code-coverage run was repeated here. The [build report](2026-10-20-studio-precise-measurements.md) retains the previously executed results: 73 passed (web), 218 passed (root), 197 passed (security) and 16 passed (Auth contracts), with all 43/43 backend/shared files measured: 2473/2492 lines (99.24%), 1883/1950 branches (96.56%), 239/242 functions (98.76%). Frontend/browser, SQL, genuine hosted integrations and src/server.js lifecycle remain outside that coverage denominator. No new coverage claim is made for this follow-up. The same build report records zero root/web npm advisories and the open runtime HIGH gate/newer-LTS follow-up; those checks were not freshly repeated. The dated reports remain historical evidence for their own scopes and times.</w:t>
      </w:r>
    </w:p>
    <w:p>
      <w:pPr>
        <w:pStyle w:val="Heading1"/>
      </w:pPr>
      <w:r>
        <w:t>Team actions and handover</w:t>
      </w:r>
    </w:p>
    <w:p>
      <w:pPr>
        <w:pStyle w:val="ReportList"/>
        <w:numPr>
          <w:ilvl w:val="0"/>
          <w:numId w:val="80"/>
        </w:numPr>
      </w:pPr>
      <w:r>
        <w:t>Uchi: retain NO-GO; confirm whether concurrent browser navigation occurred, then coordinate a stable exact-source reproduction and release/device decisions.</w:t>
      </w:r>
    </w:p>
    <w:p>
      <w:pPr>
        <w:pStyle w:val="ReportList"/>
        <w:numPr>
          <w:ilvl w:val="0"/>
          <w:numId w:val="80"/>
        </w:numPr>
      </w:pPr>
      <w:r>
        <w:t>Mumba: investigate the unsaved-state interruption with controlled reproduction; keep runtime/security and compatible isolated Auth/private-service gates open.</w:t>
      </w:r>
    </w:p>
    <w:p>
      <w:pPr>
        <w:pStyle w:val="ReportList"/>
        <w:numPr>
          <w:ilvl w:val="0"/>
          <w:numId w:val="80"/>
        </w:numPr>
      </w:pPr>
      <w:r>
        <w:t>Taizya: complete the hosted minimum-size/fallback, focus/keyboard/screen-reader and real-device matrix after the session behavior is understood. Preserve the passing observations without equating them with uninterrupted acceptance.</w:t>
      </w:r>
    </w:p>
    <w:p>
      <w:pPr>
        <w:pStyle w:val="ReportList"/>
        <w:numPr>
          <w:ilvl w:val="0"/>
          <w:numId w:val="80"/>
        </w:numPr>
      </w:pPr>
      <w:r>
        <w:t>Lubasi: supply verified measurement/licence/stock/pricing and real device/tester evidence. These synthetic study values do not establish production accuracy.</w:t>
      </w:r>
    </w:p>
    <w:p>
      <w:r>
        <w:t>No business policy decision or human signoff is inferred. No new rollback is required for a verification-only handover; the build report preserves the prior reviewed rollback plan. Documentation is committed separately on the review branch; no Git push or phase completion is performed. Unrelated user work remains unstaged. The final scoped security heuristic passes with 440 scanned, 121 skipped and no findings. This is a bounded text check, not a complete secret/history audit. The Word copy uses compact_reference_guide with memo_masthead; package/XML, table geometry, numbering, privacy and affected Markdown links pass. All 27 integration classifications and fourteen unchecked release items remain intact. Rendering reached conversion but LibreOffice/soffice is missing (WinError 2). No Word page images or visual layout verification are available.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