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Native provider MFA guard</w:t>
      </w:r>
    </w:p>
    <w:p>
      <w:r>
        <w:t xml:space="preserve">Date: 16 October 2026. Owners: Uchi Chinyama and Mumba Chitonge. Overall status: </w:t>
      </w:r>
      <w:r>
        <w:rPr>
          <w:b/>
        </w:rPr>
        <w:t>PARTIAL. These controls are not COMPLETE.</w:t>
      </w:r>
    </w:p>
    <w:p>
      <w:pPr>
        <w:pStyle w:val="Heading1"/>
      </w:pPr>
      <w:r>
        <w:t>1. Overall status and inspection</w:t>
      </w:r>
    </w:p>
    <w:p>
      <w:r>
        <w:t>The [prior inspection](2026-10-16-mfa-privileged-gap-report.md) and [implementation evidence](2026-10-16-mfa-privileged-security.md) are preserved. The remaining reproducible replay gap was provider-direct verification: unhooked Auth 2.197.0 accepted the same TOTP against another challenge, outside the application's code ledger. Existing AAL2 and application proof did not establish that every provider attempt passed the application's limits.</w:t>
      </w:r>
    </w:p>
    <w:p>
      <w:r>
        <w:t>This follow-up adds a genuine provider verification hook and requires its reservation alongside the live native session for sensitive actions. All 185 genuine local checks pass; isolated hosted/browser acceptance, recovery, native factor-change audit ingestion and the HIGH Node gate remain open. No hosted SQL/Auth/role or billing change occurred. No escrow, blockchain, payment execution or additional marketplace feature was added. User next-env changes and supplied attachments remain untouched. No human approval or full Phase 1 completion is claimed.</w:t>
      </w:r>
    </w:p>
    <w:p>
      <w:pPr>
        <w:pStyle w:val="Heading1"/>
      </w:pPr>
      <w:r>
        <w:t>2. MFA implementation evidence</w:t>
      </w:r>
    </w:p>
    <w:p>
      <w:r>
        <w:t>The native MFA Verification Attempt hook runs after the provider validates a TOTP and before native token issuance. Only the native Auth database identity can execute it. It runs with invoker rights, a fixed search path, strict input types and READ COMMITTED. It receives the provider validation result, not a code, TOTP secret, password or session token. A caller boolean cannot establish MFA: ordinary roles cannot invoke the hook, and native session/factor/AMR plus signed application proof remain mandatory.</w:t>
      </w:r>
    </w:p>
    <w:p>
      <w:r>
        <w:t>An account-scoped transaction advisory lock serializes native attempts. Five consumed attempts are permitted in a sliding five-minute window across factors. Rate-blocked retries do not extend that window. After one accepted verification, the factor cannot be verified again for ninety seconds. The provider accepts a 30-second TOTP period and one period of skew each way; this conservative interval covers that full acceptance window without reading codes or secrets. A fresh valid code during the interval is also denied. This availability tradeoff is shown in the interface and remains a policy proposal for Uchi's review.</w:t>
      </w:r>
    </w:p>
    <w:p>
      <w:r>
        <w:t>Native challenge history covers provider-first successes before activation. Cooldown, invalid, rate and disabled-hook events are appended with redacted metadata and appear in the existing restricted security audit view. No raw hook payload, IP address, code, secret or token is stored. A native valid-code event is an intent, not a claim that the subsequent session succeeded. Audit-write failure rolls its reservation back and prevents AAL2 issuance. Hook errors return controlled errors without using the provider rejection mode that signs every session out.</w:t>
      </w:r>
    </w:p>
    <w:p>
      <w:r>
        <w:t>Sensitive actions now also require the enabled, matching-environment hook marker and a reservation for the same provider user/factor within ten seconds before the native MFA AMR timestamp. Old AAL2 sessions without it deny. A later verification of the same factor supersedes its earlier receipt, so older privileged sessions can need another step-up. Disabling the marker denies protected actions even if the token and application proof remain valid. The provider's actual configuration must still be verified on the isolated target; the marker alone is not proof of a correctly configured managed service.</w:t>
      </w:r>
    </w:p>
    <w:p>
      <w:r>
        <w:t>Genuine local evidence uses digest-pinned Auth v2.197.0 and PostgreSQL 18, synthetic identities, real HTTP/SDK requests to Auth, the source application gateway/controller and private SQL calls. The twelve-migration baseline is run before the thirteenth migration, then Auth is restarted with its genuine hook configured. Native replay and race denials, real ninety-second expiry, fresh application step-up, readable native alerts and post-cutover role changes pass. Native logs pass scoped secret/token/ structured-code checks. The shared-loopback-IP limit is set to 60 only in the guarded test fixture, to distinguish the hook's account limit from provider IP throttling. Production/provider IP limits are not changed or certified.</w:t>
      </w:r>
    </w:p>
    <w:p>
      <w:r>
        <w:t>Managed [Supabase Auth Hooks](https://supabase.com/docs/guides/auth/auth-hooks) currently lists MFA verification hooks for Teams and Enterprise. Local self-hosted support does not establish availability on the existing managed project. A compatible isolated managed project or authorized self-hosted service is required; no paid upgrade/resource creation is performed or presumed authorized. The current web adapter accepts managed project URLs and modern publishable keys. A self-hosted target additionally needs an explicit URL/key adapter review; the loopback test's transport rewrite is not a deployable self-hosted web adapter.</w:t>
      </w:r>
    </w:p>
    <w:p>
      <w:pPr>
        <w:pStyle w:val="Heading1"/>
      </w:pPr>
      <w:r>
        <w:t>3. Privileged-role write path</w:t>
      </w:r>
    </w:p>
    <w:p>
      <w:r>
        <w:t>The existing trusted command remains the runtime writer: current SUPER_ADMIN request, distinct current SUPER_ADMIN approval, requester/approver execution, mandatory reason, no self change, expected assignment, expiry and last-super guard. Assignment changes, mandatory audits and native session deletion stay atomic. The additional native receipt applies to all strong actions, including role changes, recovery approval, factor removal and administrator password changes.</w:t>
      </w:r>
    </w:p>
    <w:p>
      <w:r>
        <w:t>The post-cutover genuine integration performs enrollment/step-up for a fresh synthetic requester, separated approval, ADMIN grant, immediate session rejection, fresh target sign-in, subsequent removal and immediate rejection again. Both changes have current AAL2 requester/approver/executor audits. These are software fixtures, not human bootstrap or approval evidence. Native Auth cannot directly write roles, change the guard settings, forge web-admin audit records, read administrative reasons or delete audit records.</w:t>
      </w:r>
    </w:p>
    <w:p>
      <w:r>
        <w:t>Vendor verification, suspension and financial/payout mutations remain unbuilt. Their shared strong guard is hardened; no new marketplace workflow is executed. Recovery records and the controlled operator runbook remain as before; actual private recovery execution/identity review is not accepted by this slice.</w:t>
      </w:r>
    </w:p>
    <w:p>
      <w:pPr>
        <w:pStyle w:val="Heading1"/>
      </w:pPr>
      <w:r>
        <w:t>4. Database policies and migration</w:t>
      </w:r>
    </w:p>
    <w:p>
      <w:r>
        <w:t xml:space="preserve">CLI-generated 20261016122143_virtual_ink_provider_mfa_guard.sql composes provider-mfa-guard.sql, security-audit-reads.sql and provider-mfa-session.sql. SHA-256: </w:t>
      </w:r>
      <w:r>
        <w:rPr>
          <w:rFonts w:ascii="Consolas" w:hAnsi="Consolas"/>
          <w:sz w:val="20"/>
        </w:rPr>
        <w:t>71829efa3527e1279e2bbdd8cc0c6ffec00b7b2bdfb65b57db5202a1534caf42</w:t>
      </w:r>
      <w:r>
        <w:t>. All preceding twelve migration files are unchanged. Thirteen migrations replay locally; hosted remains at ten, with all three Phase 1 migrations unapplied.</w:t>
      </w:r>
    </w:p>
    <w:p>
      <w:r>
        <w:t>The new private settings/factor-state tables have enabled and forced RLS. Settings start disabled/unconfigured. Native Auth gets only the necessary invoker rights: read settings, maintain factor reservations and insert/read provider-scoped audit columns under RLS. Its event policy fixes source/action/unknown assurance and forbids actor, role-change, approval, reason and before/after role fields. Existing event immutability triggers remain. No native table/policy modification, elevated web credential, new LOGIN/password or administrator account is introduced.</w:t>
      </w:r>
    </w:p>
    <w:p>
      <w:r>
        <w:t>Browsers, ordinary authenticated/service roles and API/vendor/provisioning/security service groups get no new guard rights, including through permissive creator defaults. The native broker retains its existing narrow private definer boundary; only the business function owner can execute it. The migration briefly assumes that existing non-login owner to replace its command, then revokes membership and schema CREATE. Application logins never receive those privileges.</w:t>
      </w:r>
    </w:p>
    <w:p>
      <w:r>
        <w:t>Read-only hosted role metadata confirms native Auth is non-superuser/NOBYPASSRLS; its existing provider CREATEROLE capability is unchanged. The existing migration administrator has BYPASSRLS/native session rights. Neither is a web runtime identity. At 17:08 UTC, the read-only hosted security advisor still reports only one existing INFO for the intentionally closed vendor-reviewer audit table with no RLS policy; [advisor guidance](https://supabase.com/docs/guides/database/database-linter?lint=0008_rls_enabled_no_policy). This does not assess the three unapplied Phase 1 migrations or establish their hosted acceptance.</w:t>
      </w:r>
    </w:p>
    <w:p>
      <w:pPr>
        <w:pStyle w:val="Heading1"/>
      </w:pPr>
      <w:r>
        <w:t>5. Files changed</w:t>
      </w:r>
    </w:p>
    <w:p>
      <w:pPr>
        <w:pStyle w:val="ReportList"/>
        <w:numPr>
          <w:ilvl w:val="0"/>
          <w:numId w:val="80"/>
        </w:numPr>
      </w:pPr>
      <w:r>
        <w:t>SQL: database/phase1/provider-mfa-guard.sql, provider-mfa-session.sql, security-audit-reads.sql and the generated thirteenth migration.</w:t>
      </w:r>
    </w:p>
    <w:p>
      <w:pPr>
        <w:pStyle w:val="ReportList"/>
        <w:numPr>
          <w:ilvl w:val="0"/>
          <w:numId w:val="80"/>
        </w:numPr>
      </w:pPr>
      <w:r>
        <w:t>Checks: scripts/provider-mfa-guard-check.mjs, genuine-mfa-local-check.mjs and privileged-security-db-check.mjs.</w:t>
      </w:r>
    </w:p>
    <w:p>
      <w:pPr>
        <w:pStyle w:val="ReportList"/>
        <w:numPr>
          <w:ilvl w:val="0"/>
          <w:numId w:val="80"/>
        </w:numPr>
      </w:pPr>
      <w:r>
        <w:t>UI: apps/web/src/components/security-admin-panel.tsx explains the interval and rate response; security decisions remain server/database enforced.</w:t>
      </w:r>
    </w:p>
    <w:p>
      <w:pPr>
        <w:pStyle w:val="ReportList"/>
        <w:numPr>
          <w:ilvl w:val="0"/>
          <w:numId w:val="80"/>
        </w:numPr>
      </w:pPr>
      <w:r>
        <w:t>Setup: examples/security-admin/provider-auth-hook.env.example and the existing phase-1-security-admin.md runbook.</w:t>
      </w:r>
    </w:p>
    <w:p>
      <w:pPr>
        <w:pStyle w:val="ReportList"/>
        <w:numPr>
          <w:ilvl w:val="0"/>
          <w:numId w:val="80"/>
        </w:numPr>
      </w:pPr>
      <w:r>
        <w:t>Handover: AGENTS.md, README.md, team-report, live-backend-setup, task-board, security-review, open-questions, closure checklist and this Markdown/Word pair.</w:t>
      </w:r>
    </w:p>
    <w:p>
      <w:r>
        <w:t>No dependencies/lockfiles, user next-env edits or supplied assets are staged.</w:t>
      </w:r>
    </w:p>
    <w:p>
      <w:pPr>
        <w:pStyle w:val="Heading1"/>
      </w:pPr>
      <w:r>
        <w:t>6. Tests executed and results</w:t>
      </w:r>
    </w:p>
    <w:p>
      <w:r>
        <w:t>Final genuine run: 2026-10-16T14:22:31.487Z. Reviewed application test runtime: Node 24.21.0.</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w:t>
            </w:r>
          </w:p>
        </w:tc>
        <w:tc>
          <w:tcPr>
            <w:tcW w:type="dxa" w:w="6060"/>
            <w:vAlign w:val="center"/>
          </w:tcPr>
          <w:p>
            <w:pPr>
              <w:pStyle w:val="ReportTableText"/>
            </w:pPr>
            <w:r>
              <w:t>198 pass, zero failed/skipped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187 pass</w:t>
            </w:r>
          </w:p>
        </w:tc>
      </w:tr>
      <w:tr>
        <w:trPr>
          <w:cantSplit/>
        </w:trPr>
        <w:tc>
          <w:tcPr>
            <w:tcW w:type="dxa" w:w="3300"/>
            <w:vAlign w:val="center"/>
          </w:tcPr>
          <w:p>
            <w:pPr>
              <w:pStyle w:val="ReportTableText"/>
            </w:pPr>
            <w:r>
              <w:t>React/mesh SSR and SDK/Next synthetic HTTP</w:t>
            </w:r>
          </w:p>
        </w:tc>
        <w:tc>
          <w:tcPr>
            <w:tcW w:type="dxa" w:w="6060"/>
            <w:vAlign w:val="center"/>
          </w:tcPr>
          <w:p>
            <w:pPr>
              <w:pStyle w:val="ReportTableText"/>
            </w:pPr>
            <w:r>
              <w:t>Ten and sixteen pass</w:t>
            </w:r>
          </w:p>
        </w:tc>
      </w:tr>
      <w:tr>
        <w:trPr>
          <w:cantSplit/>
        </w:trPr>
        <w:tc>
          <w:tcPr>
            <w:tcW w:type="dxa" w:w="3300"/>
            <w:vAlign w:val="center"/>
          </w:tcPr>
          <w:p>
            <w:pPr>
              <w:pStyle w:val="ReportTableText"/>
            </w:pPr>
            <w:r>
              <w:t>Web and strict backend/shared types</w:t>
            </w:r>
          </w:p>
        </w:tc>
        <w:tc>
          <w:tcPr>
            <w:tcW w:type="dxa" w:w="6060"/>
            <w:vAlign w:val="center"/>
          </w:tcPr>
          <w:p>
            <w:pPr>
              <w:pStyle w:val="ReportTableText"/>
            </w:pPr>
            <w:r>
              <w:t>Pass</w:t>
            </w:r>
          </w:p>
        </w:tc>
      </w:tr>
      <w:tr>
        <w:trPr>
          <w:cantSplit/>
        </w:trPr>
        <w:tc>
          <w:tcPr>
            <w:tcW w:type="dxa" w:w="3300"/>
            <w:vAlign w:val="center"/>
          </w:tcPr>
          <w:p>
            <w:pPr>
              <w:pStyle w:val="ReportTableText"/>
            </w:pPr>
            <w:r>
              <w:t>Production-format local build</w:t>
            </w:r>
          </w:p>
        </w:tc>
        <w:tc>
          <w:tcPr>
            <w:tcW w:type="dxa" w:w="6060"/>
            <w:vAlign w:val="center"/>
          </w:tcPr>
          <w:p>
            <w:pPr>
              <w:pStyle w:val="ReportTableText"/>
            </w:pPr>
            <w:r>
              <w:t>Pass; sixteen static pages and dynamic routes</w:t>
            </w:r>
          </w:p>
        </w:tc>
      </w:tr>
      <w:tr>
        <w:trPr>
          <w:cantSplit/>
        </w:trPr>
        <w:tc>
          <w:tcPr>
            <w:tcW w:type="dxa" w:w="3300"/>
            <w:vAlign w:val="center"/>
          </w:tcPr>
          <w:p>
            <w:pPr>
              <w:pStyle w:val="ReportTableText"/>
            </w:pPr>
            <w:r>
              <w:t>Backend/shared unit scope</w:t>
            </w:r>
          </w:p>
        </w:tc>
        <w:tc>
          <w:tcPr>
            <w:tcW w:type="dxa" w:w="6060"/>
            <w:vAlign w:val="center"/>
          </w:tcPr>
          <w:p>
            <w:pPr>
              <w:pStyle w:val="ReportTableText"/>
            </w:pPr>
            <w:r>
              <w:t>All 38 inventoried files measured; 95% gate passes</w:t>
            </w:r>
          </w:p>
        </w:tc>
      </w:tr>
      <w:tr>
        <w:trPr>
          <w:cantSplit/>
        </w:trPr>
        <w:tc>
          <w:tcPr>
            <w:tcW w:type="dxa" w:w="3300"/>
            <w:vAlign w:val="center"/>
          </w:tcPr>
          <w:p>
            <w:pPr>
              <w:pStyle w:val="ReportTableText"/>
            </w:pPr>
            <w:r>
              <w:t>Lines</w:t>
            </w:r>
          </w:p>
        </w:tc>
        <w:tc>
          <w:tcPr>
            <w:tcW w:type="dxa" w:w="6060"/>
            <w:vAlign w:val="center"/>
          </w:tcPr>
          <w:p>
            <w:pPr>
              <w:pStyle w:val="ReportTableText"/>
            </w:pPr>
            <w:r>
              <w:t>2074/2088 = 99.3295%</w:t>
            </w:r>
          </w:p>
        </w:tc>
      </w:tr>
      <w:tr>
        <w:trPr>
          <w:cantSplit/>
        </w:trPr>
        <w:tc>
          <w:tcPr>
            <w:tcW w:type="dxa" w:w="3300"/>
            <w:vAlign w:val="center"/>
          </w:tcPr>
          <w:p>
            <w:pPr>
              <w:pStyle w:val="ReportTableText"/>
            </w:pPr>
            <w:r>
              <w:t>Branches</w:t>
            </w:r>
          </w:p>
        </w:tc>
        <w:tc>
          <w:tcPr>
            <w:tcW w:type="dxa" w:w="6060"/>
            <w:vAlign w:val="center"/>
          </w:tcPr>
          <w:p>
            <w:pPr>
              <w:pStyle w:val="ReportTableText"/>
            </w:pPr>
            <w:r>
              <w:t>1492/1542 = 96.7575%</w:t>
            </w:r>
          </w:p>
        </w:tc>
      </w:tr>
      <w:tr>
        <w:trPr>
          <w:cantSplit/>
        </w:trPr>
        <w:tc>
          <w:tcPr>
            <w:tcW w:type="dxa" w:w="3300"/>
            <w:vAlign w:val="center"/>
          </w:tcPr>
          <w:p>
            <w:pPr>
              <w:pStyle w:val="ReportTableText"/>
            </w:pPr>
            <w:r>
              <w:t>Functions</w:t>
            </w:r>
          </w:p>
        </w:tc>
        <w:tc>
          <w:tcPr>
            <w:tcW w:type="dxa" w:w="6060"/>
            <w:vAlign w:val="center"/>
          </w:tcPr>
          <w:p>
            <w:pPr>
              <w:pStyle w:val="ReportTableText"/>
            </w:pPr>
            <w:r>
              <w:t>190/193 = 98.4456%</w:t>
            </w:r>
          </w:p>
        </w:tc>
      </w:tr>
      <w:tr>
        <w:trPr>
          <w:cantSplit/>
        </w:trPr>
        <w:tc>
          <w:tcPr>
            <w:tcW w:type="dxa" w:w="3300"/>
            <w:vAlign w:val="center"/>
          </w:tcPr>
          <w:p>
            <w:pPr>
              <w:pStyle w:val="ReportTableText"/>
            </w:pPr>
            <w:r>
              <w:t>Fresh PostgreSQL 18 replay</w:t>
            </w:r>
          </w:p>
        </w:tc>
        <w:tc>
          <w:tcPr>
            <w:tcW w:type="dxa" w:w="6060"/>
            <w:vAlign w:val="center"/>
          </w:tcPr>
          <w:p>
            <w:pPr>
              <w:pStyle w:val="ReportTableText"/>
            </w:pPr>
            <w:r>
              <w:t>Thirteen migrations, six legacy SQL suites and original role loader pass</w:t>
            </w:r>
          </w:p>
        </w:tc>
      </w:tr>
      <w:tr>
        <w:trPr>
          <w:cantSplit/>
        </w:trPr>
        <w:tc>
          <w:tcPr>
            <w:tcW w:type="dxa" w:w="3300"/>
            <w:vAlign w:val="center"/>
          </w:tcPr>
          <w:p>
            <w:pPr>
              <w:pStyle w:val="ReportTableText"/>
            </w:pPr>
            <w:r>
              <w:t>Restricted SQL security assertions</w:t>
            </w:r>
          </w:p>
        </w:tc>
        <w:tc>
          <w:tcPr>
            <w:tcW w:type="dxa" w:w="6060"/>
            <w:vAlign w:val="center"/>
          </w:tcPr>
          <w:p>
            <w:pPr>
              <w:pStyle w:val="ReportTableText"/>
            </w:pPr>
            <w:r>
              <w:t>82 pass, including native receipt absence/staleness/disable and both read regressions</w:t>
            </w:r>
          </w:p>
        </w:tc>
      </w:tr>
      <w:tr>
        <w:trPr>
          <w:cantSplit/>
        </w:trPr>
        <w:tc>
          <w:tcPr>
            <w:tcW w:type="dxa" w:w="3300"/>
            <w:vAlign w:val="center"/>
          </w:tcPr>
          <w:p>
            <w:pPr>
              <w:pStyle w:val="ReportTableText"/>
            </w:pPr>
            <w:r>
              <w:t>Genuine Auth/application checks</w:t>
            </w:r>
          </w:p>
        </w:tc>
        <w:tc>
          <w:tcPr>
            <w:tcW w:type="dxa" w:w="6060"/>
            <w:vAlign w:val="center"/>
          </w:tcPr>
          <w:p>
            <w:pPr>
              <w:pStyle w:val="ReportTableText"/>
            </w:pPr>
            <w:r>
              <w:t>185 pass: 87 baseline plus 98 post-cutover checks, including privacy/response assertions</w:t>
            </w:r>
          </w:p>
        </w:tc>
      </w:tr>
      <w:tr>
        <w:trPr>
          <w:cantSplit/>
        </w:trPr>
        <w:tc>
          <w:tcPr>
            <w:tcW w:type="dxa" w:w="3300"/>
            <w:vAlign w:val="center"/>
          </w:tcPr>
          <w:p>
            <w:pPr>
              <w:pStyle w:val="ReportTableText"/>
            </w:pPr>
            <w:r>
              <w:t>Native global controls</w:t>
            </w:r>
          </w:p>
        </w:tc>
        <w:tc>
          <w:tcPr>
            <w:tcW w:type="dxa" w:w="6060"/>
            <w:vAlign w:val="center"/>
          </w:tcPr>
          <w:p>
            <w:pPr>
              <w:pStyle w:val="ReportTableText"/>
            </w:pPr>
            <w:r>
              <w:t>Direct-provider replay, cross-factor account limits, concurrency with exactly one acceptance, provider-first cold start and real cooldown expiry pass</w:t>
            </w:r>
          </w:p>
        </w:tc>
      </w:tr>
      <w:tr>
        <w:trPr>
          <w:cantSplit/>
        </w:trPr>
        <w:tc>
          <w:tcPr>
            <w:tcW w:type="dxa" w:w="3300"/>
            <w:vAlign w:val="center"/>
          </w:tcPr>
          <w:p>
            <w:pPr>
              <w:pStyle w:val="ReportTableText"/>
            </w:pPr>
            <w:r>
              <w:t>Native permission/audit failure</w:t>
            </w:r>
          </w:p>
        </w:tc>
        <w:tc>
          <w:tcPr>
            <w:tcW w:type="dxa" w:w="6060"/>
            <w:vAlign w:val="center"/>
          </w:tcPr>
          <w:p>
            <w:pPr>
              <w:pStyle w:val="ReportTableText"/>
            </w:pPr>
            <w:r>
              <w:t>Seven database roles cannot call hook, disable guard or forge receipts; native identity cannot forge role audits; audit outage prevents AAL2 and rolls reservation back</w:t>
            </w:r>
          </w:p>
        </w:tc>
      </w:tr>
      <w:tr>
        <w:trPr>
          <w:cantSplit/>
        </w:trPr>
        <w:tc>
          <w:tcPr>
            <w:tcW w:type="dxa" w:w="3300"/>
            <w:vAlign w:val="center"/>
          </w:tcPr>
          <w:p>
            <w:pPr>
              <w:pStyle w:val="ReportTableText"/>
            </w:pPr>
            <w:r>
              <w:t>Post-cutover role lifecycle</w:t>
            </w:r>
          </w:p>
        </w:tc>
        <w:tc>
          <w:tcPr>
            <w:tcW w:type="dxa" w:w="6060"/>
            <w:vAlign w:val="center"/>
          </w:tcPr>
          <w:p>
            <w:pPr>
              <w:pStyle w:val="ReportTableText"/>
            </w:pPr>
            <w:r>
              <w:t>Genuine requester/approver MFA, grant/removal, immediate native session revocation, fresh target login and complete audits pass</w:t>
            </w:r>
          </w:p>
        </w:tc>
      </w:tr>
      <w:tr>
        <w:trPr>
          <w:cantSplit/>
        </w:trPr>
        <w:tc>
          <w:tcPr>
            <w:tcW w:type="dxa" w:w="3300"/>
            <w:vAlign w:val="center"/>
          </w:tcPr>
          <w:p>
            <w:pPr>
              <w:pStyle w:val="ReportTableText"/>
            </w:pPr>
            <w:r>
              <w:t>Cleanup</w:t>
            </w:r>
          </w:p>
        </w:tc>
        <w:tc>
          <w:tcPr>
            <w:tcW w:type="dxa" w:w="6060"/>
            <w:vAlign w:val="center"/>
          </w:tcPr>
          <w:p>
            <w:pPr>
              <w:pStyle w:val="ReportTableText"/>
            </w:pPr>
            <w:r>
              <w:t>Task-labelled containers/volumes/network removed; no hosted identity; SQL rollback/zero residue and instance stop pass</w:t>
            </w:r>
          </w:p>
        </w:tc>
      </w:tr>
      <w:tr>
        <w:trPr>
          <w:cantSplit/>
        </w:trPr>
        <w:tc>
          <w:tcPr>
            <w:tcW w:type="dxa" w:w="3300"/>
            <w:vAlign w:val="center"/>
          </w:tcPr>
          <w:p>
            <w:pPr>
              <w:pStyle w:val="ReportTableText"/>
            </w:pPr>
            <w:r>
              <w:t>Browser artifacts</w:t>
            </w:r>
          </w:p>
        </w:tc>
        <w:tc>
          <w:tcPr>
            <w:tcW w:type="dxa" w:w="6060"/>
            <w:vAlign w:val="center"/>
          </w:tcPr>
          <w:p>
            <w:pPr>
              <w:pStyle w:val="ReportTableText"/>
            </w:pPr>
            <w:r>
              <w:t>All 53 generated browser text artifacts scanned; no server configuration/credential/token/enrollment-secret patterns</w:t>
            </w:r>
          </w:p>
        </w:tc>
      </w:tr>
      <w:tr>
        <w:trPr>
          <w:cantSplit/>
        </w:trPr>
        <w:tc>
          <w:tcPr>
            <w:tcW w:type="dxa" w:w="3300"/>
            <w:vAlign w:val="center"/>
          </w:tcPr>
          <w:p>
            <w:pPr>
              <w:pStyle w:val="ReportTableText"/>
            </w:pPr>
            <w:r>
              <w:t>Runtime baseline/repository checks</w:t>
            </w:r>
          </w:p>
        </w:tc>
        <w:tc>
          <w:tcPr>
            <w:tcW w:type="dxa" w:w="6060"/>
            <w:vAlign w:val="center"/>
          </w:tcPr>
          <w:p>
            <w:pPr>
              <w:pStyle w:val="ReportTableText"/>
            </w:pPr>
            <w:r>
              <w:t>Pass; runtime security advisory remains separate</w:t>
            </w:r>
          </w:p>
        </w:tc>
      </w:tr>
      <w:tr>
        <w:trPr>
          <w:cantSplit/>
        </w:trPr>
        <w:tc>
          <w:tcPr>
            <w:tcW w:type="dxa" w:w="3300"/>
            <w:vAlign w:val="center"/>
          </w:tcPr>
          <w:p>
            <w:pPr>
              <w:pStyle w:val="ReportTableText"/>
            </w:pPr>
            <w:r>
              <w:t>Root/web dependency audits</w:t>
            </w:r>
          </w:p>
        </w:tc>
        <w:tc>
          <w:tcPr>
            <w:tcW w:type="dxa" w:w="6060"/>
            <w:vAlign w:val="center"/>
          </w:tcPr>
          <w:p>
            <w:pPr>
              <w:pStyle w:val="ReportTableText"/>
            </w:pPr>
            <w:r>
              <w:t>Both zero known vulnerabilities</w:t>
            </w:r>
          </w:p>
        </w:tc>
      </w:tr>
    </w:tbl>
    <w:p>
      <w:pPr>
        <w:spacing w:after="80"/>
      </w:pPr>
    </w:p>
    <w:p>
      <w:r>
        <w:t>Unit coverage excludes SQL, browser journeys, server lifecycle and hosted integrations. SQL uses synthetic native receipts; the separate genuine run uses the actual Auth hook and native state. Physically scanning QR, browser/TLS, managed hook configuration, callbacks, deployed logs and human acceptance remain unverified. Initial SQL ambiguity, fixture-name collision and exhausted-account fixture failures were corrected and retested; final enumerated checks pass.</w:t>
      </w:r>
    </w:p>
    <w:p>
      <w:pPr>
        <w:pStyle w:val="Heading1"/>
      </w:pPr>
      <w:r>
        <w:t>7. Failed or incomplete requirements</w:t>
      </w:r>
    </w:p>
    <w:p>
      <w:pPr>
        <w:pStyle w:val="ReportList"/>
        <w:numPr>
          <w:ilvl w:val="0"/>
          <w:numId w:val="80"/>
        </w:numPr>
      </w:pPr>
      <w:r>
        <w:t>No isolated compatible managed project or authorized self-hosted target and approved synthetic identity set has been supplied. The visible shared project has no development branch. Managed hook plan availability is a material blocker.</w:t>
      </w:r>
    </w:p>
    <w:p>
      <w:pPr>
        <w:pStyle w:val="ReportList"/>
        <w:numPr>
          <w:ilvl w:val="0"/>
          <w:numId w:val="80"/>
        </w:numPr>
      </w:pPr>
      <w:r>
        <w:t>Genuine Preview/provider/browser callbacks, resource isolation, secure cookies/ headers and deployed log privacy remain unverified. Source hosting does not apply migrations or configure the provider hook.</w:t>
      </w:r>
    </w:p>
    <w:p>
      <w:pPr>
        <w:pStyle w:val="ReportList"/>
        <w:numPr>
          <w:ilvl w:val="0"/>
          <w:numId w:val="80"/>
        </w:numPr>
      </w:pPr>
      <w:r>
        <w:t>Recovery identity review/operator execution, provider-direct factor-change audit ingestion/reconciliation and external alert delivery remain open. No final-factor support bypass or recovery-code feature was added.</w:t>
      </w:r>
    </w:p>
    <w:p>
      <w:pPr>
        <w:pStyle w:val="ReportList"/>
        <w:numPr>
          <w:ilvl w:val="0"/>
          <w:numId w:val="80"/>
        </w:numPr>
      </w:pPr>
      <w:r>
        <w:t>Unbuilt vendor/suspension/financial workflows remain unavailable; their shared guard is not evidence that the complete workflows were exercised.</w:t>
      </w:r>
    </w:p>
    <w:p>
      <w:pPr>
        <w:pStyle w:val="ReportList"/>
        <w:numPr>
          <w:ilvl w:val="0"/>
          <w:numId w:val="80"/>
        </w:numPr>
      </w:pPr>
      <w:r>
        <w:t>HIGH-NODE-01, human acceptance and the rest of Phase 1 remain open. The native replay gap is fixed locally, not declared accepted in managed Preview.</w:t>
      </w:r>
    </w:p>
    <w:p>
      <w:pPr>
        <w:pStyle w:val="Heading1"/>
      </w:pPr>
      <w:r>
        <w:t>8. Vercel Preview and Git delivery</w:t>
      </w:r>
    </w:p>
    <w:p>
      <w:r>
        <w:t>Source b60b59e3488eed14a50c17286cf9ad9367d138a2 is committed and pushed on codex/phase-1-mfa-privileged-security. Independent remote refs confirm it and the unchanged main. Twenty reviewed files were staged explicitly; the user next-env edit and supplied attachments remain unstaged. Final evidence changes only docs; no runtime source follows this verified source commit.</w:t>
      </w:r>
    </w:p>
    <w:p>
      <w:r>
        <w:t>Vercel's read-only API confirms that exact source READY with matching gitSource SHA/review branch, deployment dpl_72cNVh62FrBxx3gionSTz7LTMCqf: https://virtual-f2xm5ktgv-shadowrootsec-5679.vercel.app.</w:t>
      </w:r>
    </w:p>
    <w:p>
      <w:r>
        <w:t>At 2026-10-16T17:07:00.873Z all four credential-free probes are BLOCKED by Vercel deployment protection. Three GETs return 302 to Vercel SSO; the status POST returns Vercel's 401. The probe exits 2 for blocked. Zero application passes are claimed; no genuine callback, MFA, role write, runtime log, secure-cookie/header or isolated resource result follows from those responses. No protection was disabled, bypass token retrieved or private cookie extracted. The installed CLI runtime was used only for read-only deployment metadata; application tests use Node 24.21.0. Source hosting does not install or enable the database/provider hook.</w:t>
      </w:r>
    </w:p>
    <w:p>
      <w:r>
        <w:t>The prior runtime source ef44a90 was Ready at https://virtual-dp8mb6t8m-shadowrootsec-5679.vercel.app. That earlier deployment does not include this thirteenth migration or the interval UI copy. Main/Production remains a6736376b09ba7c3242495ff86b4bb2eea62f20c; no merge or promotion occurs.</w:t>
      </w:r>
    </w:p>
    <w:p>
      <w:pPr>
        <w:pStyle w:val="Heading1"/>
      </w:pPr>
      <w:r>
        <w:t>9. Security findings and tool review</w:t>
      </w:r>
    </w:p>
    <w:p>
      <w:r>
        <w:t>SEC-REPLAY-01: an actor with primary access and a still-valid TOTP could verify it directly with the unhooked provider and avoid application-observed reuse limits. The native hook now blocks all valid re-verification during its full acceptance interval; native account serialization prevents concurrent double verification. The mandatory native receipt denies old/unhooked AAL2 sessions. Genuine positive, replay, race, cold-start, disabled and permission tests pass locally. Hosted activation/plan acceptance remains open.</w:t>
      </w:r>
    </w:p>
    <w:p>
      <w:r>
        <w:t>SEC-AUDIT-READ-01: the existing command's unqualified reason columns conflicted with its PL/pgSQL variable, reproducing a 409 on the audit UI. Both audit and role-request reads now qualify columns; actual positive SQL and source-controller reads pass. This was an availability defect, not a reproduced data disclosure.</w:t>
      </w:r>
    </w:p>
    <w:p>
      <w:r>
        <w:t>The hook uses invoker rights and role/RLS checks, never a client role or local MFA boolean. Native intent commits precede token issuance; audit failure denies. An interrupted native operation can consume its interval without issuing a token, which is a conservative availability outcome requiring reconciliation. Migration owners and the provider's own Auth credentials remain administrative trust boundaries.</w:t>
      </w:r>
    </w:p>
    <w:p>
      <w:r>
        <w:t>HIGH-NODE-01 remains: the [Node security announcement](https://nodejs.org/en/blog/vulnerability/october-2026-security-releases) still schedules HIGH fixes for 24.x on/after 21 October. A passing 24.21 baseline or zero npm audit result does not resolve it. The [regular 24.22 release](https://nodejs.org/en/blog/release/v24.22.0) does not close that announced gate. No sensitive Production enablement occurs.</w:t>
      </w:r>
    </w:p>
    <w:p>
      <w:r>
        <w:t>Reviewed [Supabase changelog](https://supabase.com/changelog), relevant TLS/Postgres notices and [MFA hook contract](https://supabase.com/docs/guides/auth/auth-hooks/mfa-verification-hook). Pinned [native verification](https://github.com/supabase/auth/blob/v2.197.0/internal/api/mfa.go) and [Postgres hook dispatch](https://github.com/supabase/auth/blob/v2.197.0/internal/hooks/hookspgfunc/hookspgfunc.go) support the validation-before-hook and separate-transaction design.</w:t>
      </w:r>
    </w:p>
    <w:p>
      <w:r>
        <w:t>Tool outputs were treated as untrusted. Only task-owned loopback fixtures and reviewed hosted catalog/project reads were used. No private real Auth rows, credentials, codes, tokens, IP addresses or raw hook payloads were printed or staged. No external attack, live funds, billed resource or simulated human signoff occurred. The scoped application review is not a whole-system penetration test.</w:t>
      </w:r>
    </w:p>
    <w:p>
      <w:pPr>
        <w:pStyle w:val="Heading1"/>
      </w:pPr>
      <w:r>
        <w:t>10. Exact next action and team handover</w:t>
      </w:r>
    </w:p>
    <w:p>
      <w:r>
        <w:t>Identify a compatible isolated managed Teams/Enterprise project or authorized self-hosted Supabase Auth target and approved synthetic identities. Configure credentials privately, review/apply all thirteen migrations there, configure the native hook and matching DB markers, then run genuine Preview MFA/role/negative/ callback/log/browser acceptance. Complete controlled recovery and runtime patch review before promotion. Resource identifiers, privately configured credentials and any billing decision remain pending.</w:t>
      </w:r>
    </w:p>
    <w:p>
      <w:pPr>
        <w:pStyle w:val="ReportList"/>
        <w:numPr>
          <w:ilvl w:val="0"/>
          <w:numId w:val="80"/>
        </w:numPr>
      </w:pPr>
      <w:r>
        <w:t>Uchi: choose the compatible isolated target and review the ninety-second policy and real bootstrap evidence; retain phase/human gates.</w:t>
      </w:r>
    </w:p>
    <w:p>
      <w:pPr>
        <w:pStyle w:val="ReportList"/>
        <w:numPr>
          <w:ilvl w:val="0"/>
          <w:numId w:val="80"/>
        </w:numPr>
      </w:pPr>
      <w:r>
        <w:t>Mumba: review native hook grants/receipt timing and execute hosted acceptance, recovery/audit reconciliation and runtime retesting with Uchi.</w:t>
      </w:r>
    </w:p>
    <w:p>
      <w:pPr>
        <w:pStyle w:val="ReportList"/>
        <w:numPr>
          <w:ilvl w:val="0"/>
          <w:numId w:val="80"/>
        </w:numPr>
      </w:pPr>
      <w:r>
        <w:t>Taizya: review interval/rate, authenticator, confirmation and recovery browser states on the accepted target; no UX signoff is claimed.</w:t>
      </w:r>
    </w:p>
    <w:p>
      <w:pPr>
        <w:pStyle w:val="ReportList"/>
        <w:numPr>
          <w:ilvl w:val="0"/>
          <w:numId w:val="80"/>
        </w:numPr>
      </w:pPr>
      <w:r>
        <w:t>Lubasi: review private recovery identity evidence, separated approval operations and alert response; keep evidence outside Git.</w:t>
      </w:r>
    </w:p>
    <w:p>
      <w:r>
        <w:t>The Word report uses compact_reference_guide/memo_masthead and the existing named report overrides. Structural/link/OOXML/privacy checks are recorded with delivery. LibreOffice is absent; rendering/visual pagination cannot be verified. Report delivery does not imply security completion, human acceptance or readiness.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