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Ink — Initial trusted identity context and merge</w:t>
      </w:r>
    </w:p>
    <w:p>
      <w:r>
        <w:t xml:space="preserve">Date: 16 October 2026. Backend owners: Uchi Chinyama and Mumba Chitonge. Status: </w:t>
      </w:r>
      <w:r>
        <w:rPr>
          <w:b/>
        </w:rPr>
        <w:t>PARTIAL Phase 1; locally verified internal context foundation.</w:t>
      </w:r>
    </w:p>
    <w:p>
      <w:pPr>
        <w:pStyle w:val="Heading1"/>
      </w:pPr>
      <w:r>
        <w:t>What changed</w:t>
      </w:r>
    </w:p>
    <w:p>
      <w:r>
        <w:t>The initial loadPhase1Actor helper binds a verified provider identity to existing active application identity/user/role rows inside the caller's transaction. It clears prior user/tenant/access-mode scope. Only a single legacy Customer or DeliveryPartner maps to CUSTOMER or DELIVERY_PARTNER. A Customer with an active vendor membership denies through the existing self-scoped RLS discovery mode and a LIMIT 1 read. Missing/duplicate/mixed/unsupported roles and inactive mappings deny. PlatformOperator never becomes ADMIN. Returned arrays and actor are frozen; there are no grants, organization IDs, resource assignments or elevated MFA.</w:t>
      </w:r>
    </w:p>
    <w:p>
      <w:r>
        <w:t>This is an internal loader with no production business-route caller. It must run after provider verification, before tenant selection, inside the future resource/ action/audit transaction. It does not persist an audit, load order/file scope, prove MFA, implement the other six role lifecycles or complete route enforcement. Existing legacy reads retain their own policy. See docs/phase-1-trusted-context.md.</w:t>
      </w:r>
    </w:p>
    <w:p>
      <w:r>
        <w:t>The provider verifier now rejects deleted records and malformed/non-string ban timestamps. Active bans deny; valid expired bans remain eligible. HTTP tests prove these denials happen before querying application data. Browser role headers and provider user_metadata remain non-authoritative.</w:t>
      </w:r>
    </w:p>
    <w:p>
      <w:r>
        <w:t>Created source: src/backend/identity/phase1-context.ts and test/phase1-context.test.ts. Modified source/config: src/backend/identity/supabase.ts and package.json; the five new test groups are included in the security suite. Setup, matrix, task board, closure/security notes, README and current report pointers are updated. Supplied assets, historical reports and the unstaged apps/web/next-env.d.ts edit are preserved.</w:t>
      </w:r>
    </w:p>
    <w:p>
      <w:pPr>
        <w:pStyle w:val="Heading1"/>
      </w:pPr>
      <w:r>
        <w:t>Tests and measured scope</w:t>
      </w:r>
    </w:p>
    <w:p>
      <w:r>
        <w:t>Final verification uses private Node 24.21.0 and the existing phase-readiness helper. The coverage artifact records 16 October at 03:59 UTC.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8E2"/>
          <w:left w:val="single" w:sz="4" w:color="D0D8E2"/>
          <w:bottom w:val="single" w:sz="4" w:color="D0D8E2"/>
          <w:right w:val="single" w:sz="4" w:color="D0D8E2"/>
          <w:insideH w:val="single" w:sz="4" w:color="D0D8E2"/>
          <w:insideV w:val="single" w:sz="4" w:color="D0D8E2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Check</w:t>
            </w:r>
          </w:p>
        </w:tc>
        <w:tc>
          <w:tcPr>
            <w:tcW w:type="dxa" w:w="606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Actual result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Complete root suite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183 pass; zero failed/skipped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Security subset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172 pass, including five new context groups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React/mesh regression checks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Nine pass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Synthetic Supabase SDK/Next Auth checks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Fourteen pass; no genuine mailbox/provider used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Web and strict backend/shared types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Pass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Production build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Pass; sixteen static pages generated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Backend/shared scope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All 34 inventoried files measured; 95% gate passes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Lines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1726/1740 = 99.1954%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Branches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1179/1223 = 96.4023%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Functions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156/159 = 98.1132%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Repository heuristics / fixed runtime gate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Pass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Root/web npm audits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Both zero known vulnerabilities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Fresh PostgreSQL 18 replay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All ten reconciled migrations pass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Existing SQL rollback suites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Five pass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Actual loader with restricted API role and RLS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Customer/delivery load; vendor/mixed roles and user/identity/role revocation deny; zero fixture residue</w:t>
            </w:r>
          </w:p>
        </w:tc>
      </w:tr>
    </w:tbl>
    <w:p>
      <w:pPr>
        <w:spacing w:after="80"/>
      </w:pPr>
    </w:p>
    <w:p>
      <w:r>
        <w:t>The actual loader probe uses an isolated password-protected cluster at 127.0.0.1:54329 and SET ROLE virtual_ink_api. Synthetic setup stays in an outer transaction that is always rolled back; it never commits onboarding data. Provisioning commit/audit constraints are independently covered by the five existing suites. Provider-role stubs represent fixture names, not real sessions. The instance stops after verification. No hosted SQL writes were performed.</w:t>
      </w:r>
    </w:p>
    <w:p>
      <w:r>
        <w:t>The first combined type check failed because the main branch's existing Analytics package was absent locally. Sandboxed npm ci then failed with cache/permission errors; the approved rerun restored the exact merged lockfile with install scripts disabled. The final combined suites/types/build all pass. No failure is counted as a passing gate. Existing module-type and Three.js deprecation warnings are non-fatal.</w:t>
      </w:r>
    </w:p>
    <w:p>
      <w:r>
        <w:t>Coverage excludes frontend/browser flows, SQL, server lifecycle and genuine hosted integrations. Existing UI/Auth checks are regressions, not role acceptance. No manual acceptance or authenticated deployed role workflow was executed. Zero of the seventeen final mission groups is fully proven; Phase 1 remains PARTIAL.</w:t>
      </w:r>
    </w:p>
    <w:p>
      <w:pPr>
        <w:pStyle w:val="Heading1"/>
      </w:pPr>
      <w:r>
        <w:t>Security evidence and limits</w:t>
      </w:r>
    </w:p>
    <w:p>
      <w:r>
        <w:t>CTX-01: a synthetic before-fix probe loaded the committed verifier and supplied successful provider responses containing an invalid ban date or deleted_at. Both were accepted. Date.parse produced NaN, and deletion was not checked. The fix rejects invalid ban state and any non-null deletion field. Current unit/HTTP regressions pass and make no application database calls for those records. This requires an erroneous/trusted-adapter provider response; no genuine Supabase suspension bypass or attacker control of provider responses was demonstrated.</w:t>
      </w:r>
    </w:p>
    <w:p>
      <w:r>
        <w:t>Role-escalation probes deny legacy operators, invented ADMIN, multiple/duplicate roles and Customer vendor membership. Parameterized identity/membership reads, transaction-local scope clearing and conservative empty assignment/grant facts prevent those facts from creating privileged evaluator authority. Resource-loader, audit atomicity and all eight-role schema/lifecycle integration still need work. Repeatable-read snapshots do not cancel requests already in flight at suspension; live session revocation is not verified. Delivery obtains no assignment/file grant.</w:t>
      </w:r>
    </w:p>
    <w:p>
      <w:r>
        <w:t>The existing [Node notice](https://nodejs.org/en/blog/vulnerability/october-2026-security-releases) schedules HIGH-severity 24.x fixes for 21 October. Sensitive enablement stays blocked pending release review, patch and retest; the fixed runtime gate and npm audits do not resolve it. Existing framework advisory, distributed abuse controls, genuine Auth/session/MFA, private files and human acceptance remain open.</w:t>
      </w:r>
    </w:p>
    <w:p>
      <w:r>
        <w:t>The [Supabase changelog](https://supabase.com/changelog) was reviewed: the relevant 12 October TLS notice removes obsolete HTTP cipher suites no earlier than 10 November; no provider API/cipher override was added. Server Auth guidance was checked against the [official advanced guide](https://supabase.com/docs/guides/auth/server-side/advanced-guide). The installed Supabase CLI help failed because its Windows binary package is missing. No migration is required or fabricated for this existing-schema slice.</w:t>
      </w:r>
    </w:p>
    <w:p>
      <w:r>
        <w:t>Tool actions used local synthetic probes, reviewed dependency metadata and public guest reads. No provider credentials, real customer/vendor records, signed links or private evidence were printed or staged. No external message, destructive hosted probe, simulated signoff or new role activation was performed.</w:t>
      </w:r>
    </w:p>
    <w:p>
      <w:pPr>
        <w:pStyle w:val="Heading1"/>
      </w:pPr>
      <w:r>
        <w:t>Commit, merge and Vercel evidence</w:t>
      </w:r>
    </w:p>
    <w:p>
      <w:r>
        <w:t>The previous recovery/evaluator/reconciliation branch was integrated with main's separate Analytics change without conflicts. Merge commit a7a68f4 was pushed to main; an independent git ls-remote confirms it on GitHub. Analytics is preserved. The new context slice uses codex/phase-1-trusted-context; its final source commit and merge evidence will be added after staged review.</w:t>
      </w:r>
    </w:p>
    <w:p>
      <w:r>
        <w:t>Production URL: https://virtual-ink.vercel.app At 04:18 UTC all twenty public-page, rendered-image, health and guest-denial smoke checks pass. These checks do not identify the served Git commit or prove genuine Auth/database/files. The approved CLI rerun confirms Production deployment dpl_963Xcve4U3B8NernKyiaj5jrJQqz is READY at https://virtual-o8ta7drjj-shadowrootsec-5679.vercel.app. The first inspect result omits source-commit metadata, so current Git-source linkage is not yet verified. The initial sandbox CLI fetch/credential-access failure is resolved by that rerun. No protection setting or authentication bypass was changed. No phase is complete.</w:t>
      </w:r>
    </w:p>
    <w:p>
      <w:r>
        <w:t>No schema migration, new endpoint, environment variable or service permission is introduced. The reconciled hosted ten-migration history and original nine-table readiness contract remain unchanged; credentials/CA and genuine runtime setup stay private and pending.</w:t>
      </w:r>
    </w:p>
    <w:p>
      <w:pPr>
        <w:pStyle w:val="Heading1"/>
      </w:pPr>
      <w:r>
        <w:t>Team next actions and report checks</w:t>
      </w:r>
    </w:p>
    <w:p>
      <w:pPr>
        <w:pStyle w:val="ReportList"/>
        <w:numPr>
          <w:ilvl w:val="0"/>
          <w:numId w:val="80"/>
        </w:numPr>
      </w:pPr>
      <w:r>
        <w:t>Uchi: review conservative role denials; coordinate approved synthetic Auth setup and the Node patch follow-up, and retain full Phase 1 acceptance gates.</w:t>
      </w:r>
    </w:p>
    <w:p>
      <w:pPr>
        <w:pStyle w:val="ReportList"/>
        <w:numPr>
          <w:ilvl w:val="0"/>
          <w:numId w:val="80"/>
        </w:numPr>
      </w:pPr>
      <w:r>
        <w:t>Mumba: pair with Uchi on explicit eight-role assignments, privileged lifecycle, MFA and resource-context/audit integration with SQL, HTTP and concurrency tests.</w:t>
      </w:r>
    </w:p>
    <w:p>
      <w:pPr>
        <w:pStyle w:val="ReportList"/>
        <w:numPr>
          <w:ilvl w:val="0"/>
          <w:numId w:val="80"/>
        </w:numPr>
      </w:pPr>
      <w:r>
        <w:t>Taizya: specify denied, suspended, step-up and empty role states in the existing Virtual Ink visual system; no human UX approval is inferred.</w:t>
      </w:r>
    </w:p>
    <w:p>
      <w:pPr>
        <w:pStyle w:val="ReportList"/>
        <w:numPr>
          <w:ilvl w:val="0"/>
          <w:numId w:val="80"/>
        </w:numPr>
      </w:pPr>
      <w:r>
        <w:t>Lubasi: resolve vendor assignment, cancellation, delivery minimum data and break-glass operations, keeping real verification evidence outside Git.</w:t>
      </w:r>
    </w:p>
    <w:p>
      <w:r>
        <w:t>Word uses the established compact_reference_guide preset, memo_masthead pattern and named report-style overrides. Structural checks pass. The renderer was attempted and failed because LibreOffice is absent (WinError 2); visual pagination remains unverified. Link/privacy checks are recorded before delivery. No human signoff or phase completion is claimed.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  <w:jc w:val="right"/>
    </w:pPr>
    <w:r>
      <w:t xml:space="preserve">Internal working report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</w:pPr>
    <w:r>
      <w:t>Virtual Ink | Shadow Root Security Technologies | Team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80">
    <w:abstractNumId w:val="8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0F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ist">
    <w:name w:val="ReportList"/>
    <w:pPr>
      <w:widowControl/>
      <w:spacing w:before="0" w:after="80" w:line="300" w:lineRule="auto"/>
    </w:pPr>
    <w:rPr>
      <w:rFonts w:ascii="Calibri" w:hAnsi="Calibri"/>
      <w:b w:val="0"/>
      <w:color w:val="111827"/>
      <w:sz w:val="22"/>
    </w:rPr>
  </w:style>
  <w:style w:type="paragraph" w:customStyle="1" w:styleId="ReportTableText">
    <w:name w:val="ReportTableText"/>
    <w:pPr>
      <w:widowControl/>
      <w:spacing w:before="0" w:after="60" w:line="276" w:lineRule="auto"/>
    </w:pPr>
    <w:rPr>
      <w:rFonts w:ascii="Calibri" w:hAnsi="Calibri"/>
      <w:b w:val="0"/>
      <w:color w:val="111827"/>
      <w:sz w:val="19"/>
    </w:rPr>
  </w:style>
  <w:style w:type="paragraph" w:customStyle="1" w:styleId="ReportCode">
    <w:name w:val="ReportCode"/>
    <w:pPr>
      <w:widowControl/>
      <w:spacing w:before="0" w:after="160" w:line="264" w:lineRule="auto"/>
    </w:pPr>
    <w:rPr>
      <w:rFonts w:ascii="Consolas" w:hAnsi="Consolas"/>
      <w:b w:val="0"/>
      <w:color w:val="173B5E"/>
      <w:sz w:val="18"/>
    </w:rPr>
  </w:style>
  <w:style w:type="paragraph" w:customStyle="1" w:styleId="ReportMetadata">
    <w:name w:val="ReportMetadata"/>
    <w:pPr>
      <w:widowControl/>
      <w:spacing w:before="0" w:after="60" w:line="264" w:lineRule="auto"/>
    </w:pPr>
    <w:rPr>
      <w:rFonts w:ascii="Calibri" w:hAnsi="Calibri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Ink Team Progress Report</dc:title>
  <dc:subject/>
  <dc:creator>Shadow Root Security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