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payment receipt reconciliation</w:t>
      </w:r>
    </w:p>
    <w:p>
      <w:r>
        <w:t>31 October 2026. Virtual Ink / Shadow Root Security Technologies.</w:t>
      </w:r>
    </w:p>
    <w:p>
      <w:r>
        <w:rPr>
          <w:b/>
        </w:rPr>
        <w:t>Local backend slice verified; Phase 1 remains INCOMPLETE / NO-GO.</w:t>
      </w:r>
      <w:r>
        <w:t xml:space="preserve"> Payment confirmation now requires a matching recipient, accepted quote, reviewed amount/currency and unique receipt record. The implementation is disabled and unapplied hosted. No vendor, recipient, real receipt, funds or human approval is created. The parked CI work is preserved separately.</w:t>
      </w:r>
    </w:p>
    <w:p>
      <w:r>
        <w:t>Final source: commit 2d500dd1de8c20c39ca501e3e354a0d2cc5788ba, following 2093785e8f7ece192c57c1c73da0d3eb7133cae2, on feature/phase1-staging-readiness. The forward migration is 20261030201408_manual_payment_reconciliation.sql, generated by the existing private Supabase CLI 2.122.0. Its normalized SHA-256 matches database/manual-payments.sql: 3274cea1fe00e4e7e1fc1f3a367a9290a7e13d2ed6e33cfa5919ebeb3c50a46c. [Setup and remaining work](../manual-payment-reconciliation.md).</w:t>
      </w:r>
    </w:p>
    <w:p>
      <w:r>
        <w:t>Source publication: an explicit push to origin's existing feature/phase1-staging-readiness branch succeeds. An independent git ls-remote read confirms final source 2d500dd1de8c20c39ca501e3e354a0d2cc5788ba. This handover follows in a separate report commit. No main merge, PR merge or Vercel promotion occurs; a Git push is not hosted or human acceptance.</w:t>
      </w:r>
    </w:p>
    <w:p>
      <w:pPr>
        <w:pStyle w:val="Heading1"/>
      </w:pPr>
      <w:r>
        <w:t>Resulting behavior</w:t>
      </w:r>
    </w:p>
    <w:p>
      <w:r>
        <w:t>The previous disabled foundation accepted an evidence UUID after current administrator/MFA and order-grant checks. It did not bind actual receipt details. The new TypeScript and SQL contract requires recipientId, receiptReference, amountMinor, ZMW currency, evidenceReference and explicit reviewer attestation. Both commercial and manual-payment settings must be enabled; switching settings off cannot restore UUID-only confirmation.</w:t>
      </w:r>
    </w:p>
    <w:p>
      <w:r>
        <w:t>The database repeats current session/MFA, role and unexpired per-order grant checks under the existing administration lock. Customer, vendor owner and vendor membership conflicts deny review, including inactive membership. Recipient, active vendor, accepted quote and immutable commercial amount/currency must match. Partial, excess, wrong-recipient and malformed claims leave the order unpaid.</w:t>
      </w:r>
    </w:p>
    <w:p>
      <w:r>
        <w:t>Locale-independent ASCII provider/reference hashes and unique private evidence references stop cross-order duplicates; concurrent equivalent references pay exactly one order. An immutable receipt binds reviewer/session, time, recipient, order, quote, amount/currency and the same committed workflow audit. Audit outage rolls back both the receipt and payment state. Exact authorized retries reuse the original result; changed retries conflict. A legacy payment UUID without a matching receipt cannot advance an order, even after settings are disabled.</w:t>
      </w:r>
    </w:p>
    <w:p>
      <w:r>
        <w:t>Both new tables have forced RLS and no direct runtime/browser grants. The reconciliation helper has no service-role execution grant. Recipient identity and receipt history are immutable; private operators may enable/disable an existing recipient under the administration lock. No public configuration or alternative payment route is added. Raw transfer references are not retained in receipts, returned in responses or added to ordinary audit results. Digests are not encryption or anonymization.</w:t>
      </w:r>
    </w:p>
    <w:p>
      <w:r>
        <w:t>This records an authorized human's independently checked receipt; it is not an automatic bank verification service. A screenshot, evidence UUID or checkbox alone does not establish settlement. Dishonest/compromised authorized reviewers, private evidence availability and actual bank reconciliation remain operating risks. Customer payment remains separate from commission received and vendor settlement; completion accrues the frozen commission once.</w:t>
      </w:r>
    </w:p>
    <w:p>
      <w:pPr>
        <w:pStyle w:val="Heading1"/>
      </w:pPr>
      <w:r>
        <w:t>Actual verification</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Check</w:t>
            </w:r>
          </w:p>
        </w:tc>
        <w:tc>
          <w:tcPr>
            <w:tcW w:type="dxa" w:w="3100"/>
            <w:vAlign w:val="center"/>
            <w:shd w:val="clear" w:fill="E8EEF5"/>
          </w:tcPr>
          <w:p>
            <w:pPr>
              <w:pStyle w:val="ReportTableText"/>
            </w:pPr>
            <w:r>
              <w:rPr>
                <w:b/>
              </w:rPr>
              <w:t>Actual result</w:t>
            </w:r>
          </w:p>
        </w:tc>
        <w:tc>
          <w:tcPr>
            <w:tcW w:type="dxa" w:w="4160"/>
            <w:vAlign w:val="center"/>
            <w:shd w:val="clear" w:fill="E8EEF5"/>
          </w:tcPr>
          <w:p>
            <w:pPr>
              <w:pStyle w:val="ReportTableText"/>
            </w:pPr>
            <w:r>
              <w:rPr>
                <w:b/>
              </w:rPr>
              <w:t>Scope</w:t>
            </w:r>
          </w:p>
        </w:tc>
      </w:tr>
      <w:tr>
        <w:trPr>
          <w:cantSplit/>
        </w:trPr>
        <w:tc>
          <w:tcPr>
            <w:tcW w:type="dxa" w:w="2100"/>
            <w:vAlign w:val="center"/>
          </w:tcPr>
          <w:p>
            <w:pPr>
              <w:pStyle w:val="ReportTableText"/>
            </w:pPr>
            <w:r>
              <w:t>Root locked install</w:t>
            </w:r>
          </w:p>
        </w:tc>
        <w:tc>
          <w:tcPr>
            <w:tcW w:type="dxa" w:w="3100"/>
            <w:vAlign w:val="center"/>
          </w:tcPr>
          <w:p>
            <w:pPr>
              <w:pStyle w:val="ReportTableText"/>
            </w:pPr>
            <w:r>
              <w:t>Pass, including dev dependencies</w:t>
            </w:r>
          </w:p>
        </w:tc>
        <w:tc>
          <w:tcPr>
            <w:tcW w:type="dxa" w:w="4160"/>
            <w:vAlign w:val="center"/>
          </w:tcPr>
          <w:p>
            <w:pPr>
              <w:pStyle w:val="ReportTableText"/>
            </w:pPr>
            <w:r>
              <w:t>Unchanged lockfile; final cached install uses offline/no-audit; audit runs separately</w:t>
            </w:r>
          </w:p>
        </w:tc>
      </w:tr>
      <w:tr>
        <w:trPr>
          <w:cantSplit/>
        </w:trPr>
        <w:tc>
          <w:tcPr>
            <w:tcW w:type="dxa" w:w="2100"/>
            <w:vAlign w:val="center"/>
          </w:tcPr>
          <w:p>
            <w:pPr>
              <w:pStyle w:val="ReportTableText"/>
            </w:pPr>
            <w:r>
              <w:t>Root unit / security subset</w:t>
            </w:r>
          </w:p>
        </w:tc>
        <w:tc>
          <w:tcPr>
            <w:tcW w:type="dxa" w:w="3100"/>
            <w:vAlign w:val="center"/>
          </w:tcPr>
          <w:p>
            <w:pPr>
              <w:pStyle w:val="ReportTableText"/>
            </w:pPr>
            <w:r>
              <w:t>266 / 242 pass, zero failures/skips</w:t>
            </w:r>
          </w:p>
        </w:tc>
        <w:tc>
          <w:tcPr>
            <w:tcW w:type="dxa" w:w="4160"/>
            <w:vAlign w:val="center"/>
          </w:tcPr>
          <w:p>
            <w:pPr>
              <w:pStyle w:val="ReportTableText"/>
            </w:pPr>
            <w:r>
              <w:t>Overlapping suites; do not add their counts</w:t>
            </w:r>
          </w:p>
        </w:tc>
      </w:tr>
      <w:tr>
        <w:trPr>
          <w:cantSplit/>
        </w:trPr>
        <w:tc>
          <w:tcPr>
            <w:tcW w:type="dxa" w:w="2100"/>
            <w:vAlign w:val="center"/>
          </w:tcPr>
          <w:p>
            <w:pPr>
              <w:pStyle w:val="ReportTableText"/>
            </w:pPr>
            <w:r>
              <w:t>Auth/Next transport</w:t>
            </w:r>
          </w:p>
        </w:tc>
        <w:tc>
          <w:tcPr>
            <w:tcW w:type="dxa" w:w="3100"/>
            <w:vAlign w:val="center"/>
          </w:tcPr>
          <w:p>
            <w:pPr>
              <w:pStyle w:val="ReportTableText"/>
            </w:pPr>
            <w:r>
              <w:t>16 pass</w:t>
            </w:r>
          </w:p>
        </w:tc>
        <w:tc>
          <w:tcPr>
            <w:tcW w:type="dxa" w:w="4160"/>
            <w:vAlign w:val="center"/>
          </w:tcPr>
          <w:p>
            <w:pPr>
              <w:pStyle w:val="ReportTableText"/>
            </w:pPr>
            <w:r>
              <w:t>Synthetic transport contracts, not genuine hosted identity</w:t>
            </w:r>
          </w:p>
        </w:tc>
      </w:tr>
      <w:tr>
        <w:trPr>
          <w:cantSplit/>
        </w:trPr>
        <w:tc>
          <w:tcPr>
            <w:tcW w:type="dxa" w:w="2100"/>
            <w:vAlign w:val="center"/>
          </w:tcPr>
          <w:p>
            <w:pPr>
              <w:pStyle w:val="ReportTableText"/>
            </w:pPr>
            <w:r>
              <w:t>Source lint / strict types</w:t>
            </w:r>
          </w:p>
        </w:tc>
        <w:tc>
          <w:tcPr>
            <w:tcW w:type="dxa" w:w="3100"/>
            <w:vAlign w:val="center"/>
          </w:tcPr>
          <w:p>
            <w:pPr>
              <w:pStyle w:val="ReportTableText"/>
            </w:pPr>
            <w:r>
              <w:t>Pass</w:t>
            </w:r>
          </w:p>
        </w:tc>
        <w:tc>
          <w:tcPr>
            <w:tcW w:type="dxa" w:w="4160"/>
            <w:vAlign w:val="center"/>
          </w:tcPr>
          <w:p>
            <w:pPr>
              <w:pStyle w:val="ReportTableText"/>
            </w:pPr>
            <w:r>
              <w:t>Full source lint; strict backend/scripts/test TypeScript</w:t>
            </w:r>
          </w:p>
        </w:tc>
      </w:tr>
      <w:tr>
        <w:trPr>
          <w:cantSplit/>
        </w:trPr>
        <w:tc>
          <w:tcPr>
            <w:tcW w:type="dxa" w:w="2100"/>
            <w:vAlign w:val="center"/>
          </w:tcPr>
          <w:p>
            <w:pPr>
              <w:pStyle w:val="ReportTableText"/>
            </w:pPr>
            <w:r>
              <w:t>Migration replay</w:t>
            </w:r>
          </w:p>
        </w:tc>
        <w:tc>
          <w:tcPr>
            <w:tcW w:type="dxa" w:w="3100"/>
            <w:vAlign w:val="center"/>
          </w:tcPr>
          <w:p>
            <w:pPr>
              <w:pStyle w:val="ReportTableText"/>
            </w:pPr>
            <w:r>
              <w:t>All 21 pass</w:t>
            </w:r>
          </w:p>
        </w:tc>
        <w:tc>
          <w:tcPr>
            <w:tcW w:type="dxa" w:w="4160"/>
            <w:vAlign w:val="center"/>
          </w:tcPr>
          <w:p>
            <w:pPr>
              <w:pStyle w:val="ReportTableText"/>
            </w:pPr>
            <w:r>
              <w:t>Non-superuser CREATEROLE/BYPASSRLS fixture; temporary owner memberships removed</w:t>
            </w:r>
          </w:p>
        </w:tc>
      </w:tr>
      <w:tr>
        <w:trPr>
          <w:cantSplit/>
        </w:trPr>
        <w:tc>
          <w:tcPr>
            <w:tcW w:type="dxa" w:w="2100"/>
            <w:vAlign w:val="center"/>
          </w:tcPr>
          <w:p>
            <w:pPr>
              <w:pStyle w:val="ReportTableText"/>
            </w:pPr>
            <w:r>
              <w:t>SQL security / workflow</w:t>
            </w:r>
          </w:p>
        </w:tc>
        <w:tc>
          <w:tcPr>
            <w:tcW w:type="dxa" w:w="3100"/>
            <w:vAlign w:val="center"/>
          </w:tcPr>
          <w:p>
            <w:pPr>
              <w:pStyle w:val="ReportTableText"/>
            </w:pPr>
            <w:r>
              <w:t>123 / 217 assertions pass</w:t>
            </w:r>
          </w:p>
        </w:tc>
        <w:tc>
          <w:tcPr>
            <w:tcW w:type="dxa" w:w="4160"/>
            <w:vAlign w:val="center"/>
          </w:tcPr>
          <w:p>
            <w:pPr>
              <w:pStyle w:val="ReportTableText"/>
            </w:pPr>
            <w:r>
              <w:t>Separate suites; workflow also reports 104 document checks</w:t>
            </w:r>
          </w:p>
        </w:tc>
      </w:tr>
      <w:tr>
        <w:trPr>
          <w:cantSplit/>
        </w:trPr>
        <w:tc>
          <w:tcPr>
            <w:tcW w:type="dxa" w:w="2100"/>
            <w:vAlign w:val="center"/>
          </w:tcPr>
          <w:p>
            <w:pPr>
              <w:pStyle w:val="ReportTableText"/>
            </w:pPr>
            <w:r>
              <w:t>Commercial SQL</w:t>
            </w:r>
          </w:p>
        </w:tc>
        <w:tc>
          <w:tcPr>
            <w:tcW w:type="dxa" w:w="3100"/>
            <w:vAlign w:val="center"/>
          </w:tcPr>
          <w:p>
            <w:pPr>
              <w:pStyle w:val="ReportTableText"/>
            </w:pPr>
            <w:r>
              <w:t>291 checks pass, including 155 receipt checks</w:t>
            </w:r>
          </w:p>
        </w:tc>
        <w:tc>
          <w:tcPr>
            <w:tcW w:type="dxa" w:w="4160"/>
            <w:vAlign w:val="center"/>
          </w:tcPr>
          <w:p>
            <w:pPr>
              <w:pStyle w:val="ReportTableText"/>
            </w:pPr>
            <w:r>
              <w:t>Synthetic loopback accounts, scans, grants, agreements and receipt evidence</w:t>
            </w:r>
          </w:p>
        </w:tc>
      </w:tr>
      <w:tr>
        <w:trPr>
          <w:cantSplit/>
        </w:trPr>
        <w:tc>
          <w:tcPr>
            <w:tcW w:type="dxa" w:w="2100"/>
            <w:vAlign w:val="center"/>
          </w:tcPr>
          <w:p>
            <w:pPr>
              <w:pStyle w:val="ReportTableText"/>
            </w:pPr>
            <w:r>
              <w:t>Runtime / repository heuristics</w:t>
            </w:r>
          </w:p>
        </w:tc>
        <w:tc>
          <w:tcPr>
            <w:tcW w:type="dxa" w:w="3100"/>
            <w:vAlign w:val="center"/>
          </w:tcPr>
          <w:p>
            <w:pPr>
              <w:pStyle w:val="ReportTableText"/>
            </w:pPr>
            <w:r>
              <w:t>Pass</w:t>
            </w:r>
          </w:p>
        </w:tc>
        <w:tc>
          <w:tcPr>
            <w:tcW w:type="dxa" w:w="4160"/>
            <w:vAlign w:val="center"/>
          </w:tcPr>
          <w:p>
            <w:pPr>
              <w:pStyle w:val="ReportTableText"/>
            </w:pPr>
            <w:r>
              <w:t>Local Node 24.22.1; scoped repository scan</w:t>
            </w:r>
          </w:p>
        </w:tc>
      </w:tr>
      <w:tr>
        <w:trPr>
          <w:cantSplit/>
        </w:trPr>
        <w:tc>
          <w:tcPr>
            <w:tcW w:type="dxa" w:w="2100"/>
            <w:vAlign w:val="center"/>
          </w:tcPr>
          <w:p>
            <w:pPr>
              <w:pStyle w:val="ReportTableText"/>
            </w:pPr>
            <w:r>
              <w:t>Dependency audit, full root</w:t>
            </w:r>
          </w:p>
        </w:tc>
        <w:tc>
          <w:tcPr>
            <w:tcW w:type="dxa" w:w="3100"/>
            <w:vAlign w:val="center"/>
          </w:tcPr>
          <w:p>
            <w:pPr>
              <w:pStyle w:val="ReportTableText"/>
            </w:pPr>
            <w:r>
              <w:t>Reports 24 moderate entries; no high/critical</w:t>
            </w:r>
          </w:p>
        </w:tc>
        <w:tc>
          <w:tcPr>
            <w:tcW w:type="dxa" w:w="4160"/>
            <w:vAlign w:val="center"/>
          </w:tcPr>
          <w:p>
            <w:pPr>
              <w:pStyle w:val="ReportTableText"/>
            </w:pPr>
            <w:r>
              <w:t>One minimatch advisory propagated through development-tool dependencies</w:t>
            </w:r>
          </w:p>
        </w:tc>
      </w:tr>
      <w:tr>
        <w:trPr>
          <w:cantSplit/>
        </w:trPr>
        <w:tc>
          <w:tcPr>
            <w:tcW w:type="dxa" w:w="2100"/>
            <w:vAlign w:val="center"/>
          </w:tcPr>
          <w:p>
            <w:pPr>
              <w:pStyle w:val="ReportTableText"/>
            </w:pPr>
            <w:r>
              <w:t>Dependency audit, omit dev</w:t>
            </w:r>
          </w:p>
        </w:tc>
        <w:tc>
          <w:tcPr>
            <w:tcW w:type="dxa" w:w="3100"/>
            <w:vAlign w:val="center"/>
          </w:tcPr>
          <w:p>
            <w:pPr>
              <w:pStyle w:val="ReportTableText"/>
            </w:pPr>
            <w:r>
              <w:t>Zero reported vulnerabilities</w:t>
            </w:r>
          </w:p>
        </w:tc>
        <w:tc>
          <w:tcPr>
            <w:tcW w:type="dxa" w:w="4160"/>
            <w:vAlign w:val="center"/>
          </w:tcPr>
          <w:p>
            <w:pPr>
              <w:pStyle w:val="ReportTableText"/>
            </w:pPr>
            <w:r>
              <w:t>Production dependency audit; metadata still inventories the full 169-entry tree</w:t>
            </w:r>
          </w:p>
        </w:tc>
      </w:tr>
    </w:tbl>
    <w:p>
      <w:pPr>
        <w:spacing w:after="80"/>
      </w:pPr>
    </w:p>
    <w:p>
      <w:r>
        <w:t>All 53/53 backend/shared unit inventory files are measured, with no omissions: lines 3,163/3,184 (99.34%), branches 2,395/2,468 (97.04%), functions 310/317 (97.79%). These are aggregate unit metrics, not whole-system coverage. SQL, frontend/browser journeys, src/server.js lifecycle and genuine hosted services remain separate. No fresh full web build, physical device, banking or genuine Auth acceptance is claimed for this slice.</w:t>
      </w:r>
    </w:p>
    <w:p>
      <w:r>
        <w:t>Direct SQL tests bypass TypeScript to check malformed fields, disabled policy, legacy-only input, wrong recipient/amount, self-review, MFA/session denials, canonical duplicates/concurrency, immutable identity/history, actual restricted SELECT/helper denials and atomic audit failure. The existing order journey now uses a synthetic approved recipient/agreement and full receipt contract. No guard or test is removed to preserve the former UUID-only behavior. The final one-line SQL normalization hardening repeats the complete replay and all suites successfully; coverage/type/lint results belong to the unchanged TypeScript and test source already verified above.</w:t>
      </w:r>
    </w:p>
    <w:p>
      <w:pPr>
        <w:pStyle w:val="Heading1"/>
      </w:pPr>
      <w:r>
        <w:t>Security evidence and retained failures</w:t>
      </w:r>
    </w:p>
    <w:p>
      <w:r>
        <w:t>The payment threat requires an authenticated privileged reviewer with an active order grant; this was an incomplete receipt gate, not a demonstrated anonymous or hosted authorization bypass. Reused or mismatched evidence could previously mark an unrelated amount as paid. The new SQL constraints and transaction checks deny those local cases. An operator must still verify actual bank receipt and approve provider reference uniqueness/normalization before live use.</w:t>
      </w:r>
    </w:p>
    <w:p>
      <w:r>
        <w:t>The fresh full audit exits nonzero for minimatch 10.2.6: [maintainer advisory GHSA-g3hv-75wg-m249](https://github.com/isaacs/minimatch/security/advisories/GHSA-g3hv-75wg-m249). It describes pattern-amplification denial of service at optimizationLevel &gt;= 2; the published fix is 11.0.1. Source inspection finds no minimatch import in the application/scripts/config or optimizationLevel option in the reviewed ESLint consumer directories. Request-path reachability and an exploit are not reproduced. The moderate finding remains open for a compatible toolchain update. The audit's proposed forced ESLint downgrade to 4.0.0 and a blind major override are not applied. No high/critical finding is reported in this root audit; this does not clear the separate retained hosting/runtime release blocker.</w:t>
      </w:r>
    </w:p>
    <w:p>
      <w:r>
        <w:t>Initial sandbox tests cannot start PostgreSQL and fail two existing subprocess checks; authorized local reruns pass. The recipient fixture first needs an explicit UUID parameter cast, then fails an existing provisioning-audit guard when adding a conflict-of-interest membership. The fixture now supplies the required same-transaction audit; application guards remain intact. The final complete replay passes afterward. A registry-bound repeat install stalls; only its verified task-owned process is stopped, then the unchanged lock installs from cache. Both fresh advisory checks run separately. No forced dependency downgrade, hosted database change or broad process cleanup occurs.</w:t>
      </w:r>
    </w:p>
    <w:p>
      <w:r>
        <w:t>All probes use synthetic loopback fixtures. Credentials, raw logs, real account details/customer files/vendor evidence and signed URLs stay out of Git/reports. Tool/document output is treated as untrusted; no instruction injection, secret interpolation or unsupported privilege expansion is accepted. This is a scoped application review, not a provider/OS/workstation penetration test.</w:t>
      </w:r>
    </w:p>
    <w:p>
      <w:pPr>
        <w:pStyle w:val="Heading1"/>
      </w:pPr>
      <w:r>
        <w:t>Hosting and unfinished acceptance</w:t>
      </w:r>
    </w:p>
    <w:p>
      <w:r>
        <w:t>No Vercel deployment verifies this new SQL path. The last confirmed protected Preview remains the 29 October UI-only deployment: https://virtual-ink-ui-test-mkichpnsp-shadowrootsec-5679.vercel.app. It built READY at source fa478a16da9148d0ed2fd8ada0aaea8658cb9e47 but /shop ran Node 24.21.0 and returned HTTP 500 below the unchanged 24.22.1 baseline. Today's browser verification fails before browser access with a kernel-assets path error, twice. No tab is opened, protection bypassed or fresh hosted success claimed. Provider patching remains unconfirmed. Vercel's [major-only version selection](https://vercel.com/docs/functions/runtimes/node-js/node-js-versions) does not establish request-time patch compatibility.</w:t>
      </w:r>
    </w:p>
    <w:p>
      <w:r>
        <w:t>Hosted staging's last reviewed history remains fourteen migrations with services off; today's 21-migration proof is local only. Private evidence ingress/download, customer instructions, receipt report/reviewer UI, actual recipient approval, monitoring/alerts, commission collection, refunds/partial/excess operations and genuine customer/vendor/admin/device acceptance remain open. No original Production, main merge, promotion, vendor activation or paid capability is changed.</w:t>
      </w:r>
    </w:p>
    <w:p>
      <w:pPr>
        <w:pStyle w:val="Heading1"/>
      </w:pPr>
      <w:r>
        <w:t>Team actions and delivery</w:t>
      </w:r>
    </w:p>
    <w:p>
      <w:pPr>
        <w:pStyle w:val="ReportList"/>
        <w:numPr>
          <w:ilvl w:val="0"/>
          <w:numId w:val="80"/>
        </w:numPr>
      </w:pPr>
      <w:r>
        <w:t>Uchi: retain NO-GO; confirm actual manual methods/reviewer and real Hotprints terms, invite group and operating limits; resolve the provider runtime path.</w:t>
      </w:r>
    </w:p>
    <w:p>
      <w:pPr>
        <w:pStyle w:val="ReportList"/>
        <w:numPr>
          <w:ilvl w:val="0"/>
          <w:numId w:val="80"/>
        </w:numPr>
      </w:pPr>
      <w:r>
        <w:t>Mumba with Uchi: review the forward migration and private operator procedure, implement the receipt interface/private transport next, resolve the moderate development-tool advisory and verify genuine isolated hosted service denials.</w:t>
      </w:r>
    </w:p>
    <w:p>
      <w:pPr>
        <w:pStyle w:val="ReportList"/>
        <w:numPr>
          <w:ilvl w:val="0"/>
          <w:numId w:val="80"/>
        </w:numPr>
      </w:pPr>
      <w:r>
        <w:t>Taizya: review instruction/report/reviewer states, then run actual accessible customer/vendor/admin journeys on Windows, Android and iPhone when hosting works.</w:t>
      </w:r>
    </w:p>
    <w:p>
      <w:pPr>
        <w:pStyle w:val="ReportList"/>
        <w:numPr>
          <w:ilvl w:val="0"/>
          <w:numId w:val="80"/>
        </w:numPr>
      </w:pPr>
      <w:r>
        <w:t>Lubasi: privately verify recipient/provider reference rules and receipt-review procedure, commission collection, partial/excess, refund/reprint and retention.</w:t>
      </w:r>
    </w:p>
    <w:p>
      <w:r>
        <w:t>The Word copy is generated using scripts/generate_team_report.py and the Documents skill's compact_reference_guide / memo_masthead conventions. ZIP/XML, Letter/one-inch geometry, body spacing, real lists and fixed table geometry pass; 494 local links across eleven affected Markdown files resolve. The final scoped repository scan passes with 532 files scanned, 148 excluded and zero findings. Whitespace checks pass. The first renderer attempt cannot create its sandboxed temporary profile. Its authorized retry reaches conversion but fails with WinError 2; LibreOffice/soffice is unavailable. No page images or visual Word acceptance are claimed. Render and inspect the Word document before external circulation. Historical reports and unrelated user work are preserved. No human signoff is inferred.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