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65FA1A9D" w14:textId="77777777" w:rsidR="003806E3" w:rsidRPr="003806E3" w:rsidRDefault="003806E3" w:rsidP="003806E3">
      <w:pPr>
        <w:rPr>
          <w:rFonts w:ascii="Abadi" w:hAnsi="Abadi"/>
        </w:rPr>
      </w:pPr>
      <w:r w:rsidRPr="003806E3">
        <w:rPr>
          <w:rFonts w:ascii="Abadi" w:hAnsi="Abadi"/>
        </w:rPr>
        <w:t xml:space="preserve">This Service Level Agreement ("Agreement") is entered into between </w:t>
      </w:r>
      <w:r w:rsidRPr="003806E3">
        <w:rPr>
          <w:rFonts w:ascii="Abadi" w:hAnsi="Abadi"/>
          <w:b/>
          <w:bCs/>
        </w:rPr>
        <w:t>ABS Company</w:t>
      </w:r>
      <w:r w:rsidRPr="003806E3">
        <w:rPr>
          <w:rFonts w:ascii="Abadi" w:hAnsi="Abadi"/>
        </w:rPr>
        <w:t xml:space="preserve"> ("Client") and </w:t>
      </w:r>
      <w:r w:rsidRPr="003806E3">
        <w:rPr>
          <w:rFonts w:ascii="Abadi" w:hAnsi="Abadi"/>
          <w:b/>
          <w:bCs/>
        </w:rPr>
        <w:t>Tech Support Partners</w:t>
      </w:r>
      <w:r w:rsidRPr="003806E3">
        <w:rPr>
          <w:rFonts w:ascii="Abadi" w:hAnsi="Abadi"/>
        </w:rPr>
        <w:t xml:space="preserve"> ("Service Provider") effective as of [Date]. This Agreement defines the scope, performance standards, and responsibilities related to the services provided by Tech Support Partners to ABS Company.</w:t>
      </w:r>
    </w:p>
    <w:p w14:paraId="46DBE216" w14:textId="77777777" w:rsidR="003806E3" w:rsidRPr="003806E3" w:rsidRDefault="003806E3" w:rsidP="003806E3">
      <w:pPr>
        <w:rPr>
          <w:rFonts w:ascii="Abadi" w:hAnsi="Abadi"/>
          <w:b/>
          <w:bCs/>
        </w:rPr>
      </w:pPr>
      <w:r w:rsidRPr="003806E3">
        <w:rPr>
          <w:rFonts w:ascii="Abadi" w:hAnsi="Abadi"/>
          <w:b/>
          <w:bCs/>
        </w:rPr>
        <w:t>1. Definitions</w:t>
      </w:r>
    </w:p>
    <w:p w14:paraId="7C7D3E41" w14:textId="77777777" w:rsidR="003806E3" w:rsidRPr="003806E3" w:rsidRDefault="003806E3" w:rsidP="003806E3">
      <w:pPr>
        <w:numPr>
          <w:ilvl w:val="0"/>
          <w:numId w:val="60"/>
        </w:numPr>
        <w:rPr>
          <w:rFonts w:ascii="Abadi" w:hAnsi="Abadi"/>
        </w:rPr>
      </w:pPr>
      <w:r w:rsidRPr="003806E3">
        <w:rPr>
          <w:rFonts w:ascii="Abadi" w:hAnsi="Abadi"/>
          <w:b/>
          <w:bCs/>
        </w:rPr>
        <w:t>Services</w:t>
      </w:r>
      <w:r w:rsidRPr="003806E3">
        <w:rPr>
          <w:rFonts w:ascii="Abadi" w:hAnsi="Abadi"/>
        </w:rPr>
        <w:t>: Tech Support Partners will provide IT support services including helpdesk support, network monitoring, incident management, hardware and software troubleshooting, and system maintenance as outlined in the attached Statement of Work (SOW).</w:t>
      </w:r>
    </w:p>
    <w:p w14:paraId="6BCA42C4" w14:textId="77777777" w:rsidR="003806E3" w:rsidRPr="003806E3" w:rsidRDefault="003806E3" w:rsidP="003806E3">
      <w:pPr>
        <w:numPr>
          <w:ilvl w:val="0"/>
          <w:numId w:val="60"/>
        </w:numPr>
        <w:rPr>
          <w:rFonts w:ascii="Abadi" w:hAnsi="Abadi"/>
        </w:rPr>
      </w:pPr>
      <w:r w:rsidRPr="003806E3">
        <w:rPr>
          <w:rFonts w:ascii="Abadi" w:hAnsi="Abadi"/>
          <w:b/>
          <w:bCs/>
        </w:rPr>
        <w:t>Response Time</w:t>
      </w:r>
      <w:r w:rsidRPr="003806E3">
        <w:rPr>
          <w:rFonts w:ascii="Abadi" w:hAnsi="Abadi"/>
        </w:rPr>
        <w:t>: The maximum allowable time between ABS Company’s service request and Tech Support Partners’ initial response.</w:t>
      </w:r>
    </w:p>
    <w:p w14:paraId="49703C7C" w14:textId="77777777" w:rsidR="003806E3" w:rsidRPr="003806E3" w:rsidRDefault="003806E3" w:rsidP="003806E3">
      <w:pPr>
        <w:numPr>
          <w:ilvl w:val="0"/>
          <w:numId w:val="60"/>
        </w:numPr>
        <w:rPr>
          <w:rFonts w:ascii="Abadi" w:hAnsi="Abadi"/>
        </w:rPr>
      </w:pPr>
      <w:r w:rsidRPr="003806E3">
        <w:rPr>
          <w:rFonts w:ascii="Abadi" w:hAnsi="Abadi"/>
          <w:b/>
          <w:bCs/>
        </w:rPr>
        <w:t>Resolution Time</w:t>
      </w:r>
      <w:r w:rsidRPr="003806E3">
        <w:rPr>
          <w:rFonts w:ascii="Abadi" w:hAnsi="Abadi"/>
        </w:rPr>
        <w:t>: The maximum target time to resolve an incident or service request depending on severity level.</w:t>
      </w:r>
    </w:p>
    <w:p w14:paraId="71CD2E72" w14:textId="77777777" w:rsidR="003806E3" w:rsidRPr="003806E3" w:rsidRDefault="003806E3" w:rsidP="003806E3">
      <w:pPr>
        <w:rPr>
          <w:rFonts w:ascii="Abadi" w:hAnsi="Abadi"/>
          <w:b/>
          <w:bCs/>
        </w:rPr>
      </w:pPr>
      <w:r w:rsidRPr="003806E3">
        <w:rPr>
          <w:rFonts w:ascii="Abadi" w:hAnsi="Abadi"/>
          <w:b/>
          <w:bCs/>
        </w:rPr>
        <w:t>2. Performance Metrics</w:t>
      </w:r>
    </w:p>
    <w:tbl>
      <w:tblPr>
        <w:tblStyle w:val="TableGridLight"/>
        <w:tblW w:w="9360" w:type="dxa"/>
        <w:tblLook w:val="04A0" w:firstRow="1" w:lastRow="0" w:firstColumn="1" w:lastColumn="0" w:noHBand="0" w:noVBand="1"/>
      </w:tblPr>
      <w:tblGrid>
        <w:gridCol w:w="1726"/>
        <w:gridCol w:w="3609"/>
        <w:gridCol w:w="2095"/>
        <w:gridCol w:w="1930"/>
      </w:tblGrid>
      <w:tr w:rsidR="003806E3" w:rsidRPr="003806E3" w14:paraId="2694CAC4" w14:textId="77777777" w:rsidTr="003806E3">
        <w:trPr>
          <w:trHeight w:val="792"/>
        </w:trPr>
        <w:tc>
          <w:tcPr>
            <w:tcW w:w="0" w:type="auto"/>
            <w:hideMark/>
          </w:tcPr>
          <w:p w14:paraId="677BBD9A" w14:textId="77777777" w:rsidR="003806E3" w:rsidRPr="003806E3" w:rsidRDefault="003806E3" w:rsidP="003806E3">
            <w:pPr>
              <w:spacing w:after="160" w:line="278" w:lineRule="auto"/>
              <w:rPr>
                <w:rFonts w:ascii="Abadi" w:hAnsi="Abadi"/>
                <w:b/>
                <w:bCs/>
              </w:rPr>
            </w:pPr>
            <w:r w:rsidRPr="003806E3">
              <w:rPr>
                <w:rFonts w:ascii="Abadi" w:hAnsi="Abadi"/>
                <w:b/>
                <w:bCs/>
              </w:rPr>
              <w:t>Metric</w:t>
            </w:r>
          </w:p>
        </w:tc>
        <w:tc>
          <w:tcPr>
            <w:tcW w:w="0" w:type="auto"/>
            <w:hideMark/>
          </w:tcPr>
          <w:p w14:paraId="1125B642" w14:textId="77777777" w:rsidR="003806E3" w:rsidRPr="003806E3" w:rsidRDefault="003806E3" w:rsidP="003806E3">
            <w:pPr>
              <w:spacing w:after="160" w:line="278" w:lineRule="auto"/>
              <w:rPr>
                <w:rFonts w:ascii="Abadi" w:hAnsi="Abadi"/>
                <w:b/>
                <w:bCs/>
              </w:rPr>
            </w:pPr>
            <w:r w:rsidRPr="003806E3">
              <w:rPr>
                <w:rFonts w:ascii="Abadi" w:hAnsi="Abadi"/>
                <w:b/>
                <w:bCs/>
              </w:rPr>
              <w:t>Target Level</w:t>
            </w:r>
          </w:p>
        </w:tc>
        <w:tc>
          <w:tcPr>
            <w:tcW w:w="0" w:type="auto"/>
            <w:hideMark/>
          </w:tcPr>
          <w:p w14:paraId="6ECDB85F" w14:textId="77777777" w:rsidR="003806E3" w:rsidRPr="003806E3" w:rsidRDefault="003806E3" w:rsidP="003806E3">
            <w:pPr>
              <w:spacing w:after="160" w:line="278" w:lineRule="auto"/>
              <w:rPr>
                <w:rFonts w:ascii="Abadi" w:hAnsi="Abadi"/>
                <w:b/>
                <w:bCs/>
              </w:rPr>
            </w:pPr>
            <w:r w:rsidRPr="003806E3">
              <w:rPr>
                <w:rFonts w:ascii="Abadi" w:hAnsi="Abadi"/>
                <w:b/>
                <w:bCs/>
              </w:rPr>
              <w:t>Measurement Method</w:t>
            </w:r>
          </w:p>
        </w:tc>
        <w:tc>
          <w:tcPr>
            <w:tcW w:w="0" w:type="auto"/>
            <w:hideMark/>
          </w:tcPr>
          <w:p w14:paraId="65270FC4" w14:textId="77777777" w:rsidR="003806E3" w:rsidRPr="003806E3" w:rsidRDefault="003806E3" w:rsidP="003806E3">
            <w:pPr>
              <w:spacing w:after="160" w:line="278" w:lineRule="auto"/>
              <w:rPr>
                <w:rFonts w:ascii="Abadi" w:hAnsi="Abadi"/>
                <w:b/>
                <w:bCs/>
              </w:rPr>
            </w:pPr>
            <w:r w:rsidRPr="003806E3">
              <w:rPr>
                <w:rFonts w:ascii="Abadi" w:hAnsi="Abadi"/>
                <w:b/>
                <w:bCs/>
              </w:rPr>
              <w:t>Severity Levels</w:t>
            </w:r>
          </w:p>
        </w:tc>
      </w:tr>
      <w:tr w:rsidR="003806E3" w:rsidRPr="003806E3" w14:paraId="719876D4" w14:textId="77777777" w:rsidTr="003806E3">
        <w:trPr>
          <w:trHeight w:val="792"/>
        </w:trPr>
        <w:tc>
          <w:tcPr>
            <w:tcW w:w="0" w:type="auto"/>
            <w:hideMark/>
          </w:tcPr>
          <w:p w14:paraId="35337EA5" w14:textId="77777777" w:rsidR="003806E3" w:rsidRPr="003806E3" w:rsidRDefault="003806E3" w:rsidP="003806E3">
            <w:pPr>
              <w:spacing w:after="160" w:line="278" w:lineRule="auto"/>
              <w:rPr>
                <w:rFonts w:ascii="Abadi" w:hAnsi="Abadi"/>
              </w:rPr>
            </w:pPr>
            <w:r w:rsidRPr="003806E3">
              <w:rPr>
                <w:rFonts w:ascii="Abadi" w:hAnsi="Abadi"/>
                <w:b/>
                <w:bCs/>
              </w:rPr>
              <w:t>Service Availability</w:t>
            </w:r>
          </w:p>
        </w:tc>
        <w:tc>
          <w:tcPr>
            <w:tcW w:w="0" w:type="auto"/>
            <w:hideMark/>
          </w:tcPr>
          <w:p w14:paraId="138E57AF" w14:textId="77777777" w:rsidR="003806E3" w:rsidRPr="003806E3" w:rsidRDefault="003806E3" w:rsidP="003806E3">
            <w:pPr>
              <w:spacing w:after="160" w:line="278" w:lineRule="auto"/>
              <w:rPr>
                <w:rFonts w:ascii="Abadi" w:hAnsi="Abadi"/>
              </w:rPr>
            </w:pPr>
            <w:r w:rsidRPr="003806E3">
              <w:rPr>
                <w:rFonts w:ascii="Abadi" w:hAnsi="Abadi"/>
              </w:rPr>
              <w:t>99.5% uptime monthly</w:t>
            </w:r>
          </w:p>
        </w:tc>
        <w:tc>
          <w:tcPr>
            <w:tcW w:w="0" w:type="auto"/>
            <w:hideMark/>
          </w:tcPr>
          <w:p w14:paraId="56C6A2F3" w14:textId="77777777" w:rsidR="003806E3" w:rsidRPr="003806E3" w:rsidRDefault="003806E3" w:rsidP="003806E3">
            <w:pPr>
              <w:spacing w:after="160" w:line="278" w:lineRule="auto"/>
              <w:rPr>
                <w:rFonts w:ascii="Abadi" w:hAnsi="Abadi"/>
              </w:rPr>
            </w:pPr>
            <w:r w:rsidRPr="003806E3">
              <w:rPr>
                <w:rFonts w:ascii="Abadi" w:hAnsi="Abadi"/>
              </w:rPr>
              <w:t>System monitoring reports</w:t>
            </w:r>
          </w:p>
        </w:tc>
        <w:tc>
          <w:tcPr>
            <w:tcW w:w="0" w:type="auto"/>
            <w:hideMark/>
          </w:tcPr>
          <w:p w14:paraId="1D661DF8" w14:textId="77777777" w:rsidR="003806E3" w:rsidRPr="003806E3" w:rsidRDefault="003806E3" w:rsidP="003806E3">
            <w:pPr>
              <w:spacing w:after="160" w:line="278" w:lineRule="auto"/>
              <w:rPr>
                <w:rFonts w:ascii="Abadi" w:hAnsi="Abadi"/>
              </w:rPr>
            </w:pPr>
            <w:r w:rsidRPr="003806E3">
              <w:rPr>
                <w:rFonts w:ascii="Abadi" w:hAnsi="Abadi"/>
              </w:rPr>
              <w:t>Critical / High / Medium / Low</w:t>
            </w:r>
          </w:p>
        </w:tc>
      </w:tr>
      <w:tr w:rsidR="003806E3" w:rsidRPr="003806E3" w14:paraId="1FB4F549" w14:textId="77777777" w:rsidTr="003806E3">
        <w:trPr>
          <w:trHeight w:val="1116"/>
        </w:trPr>
        <w:tc>
          <w:tcPr>
            <w:tcW w:w="0" w:type="auto"/>
            <w:hideMark/>
          </w:tcPr>
          <w:p w14:paraId="011384A7" w14:textId="77777777" w:rsidR="003806E3" w:rsidRPr="003806E3" w:rsidRDefault="003806E3" w:rsidP="003806E3">
            <w:pPr>
              <w:spacing w:after="160" w:line="278" w:lineRule="auto"/>
              <w:rPr>
                <w:rFonts w:ascii="Abadi" w:hAnsi="Abadi"/>
              </w:rPr>
            </w:pPr>
            <w:r w:rsidRPr="003806E3">
              <w:rPr>
                <w:rFonts w:ascii="Abadi" w:hAnsi="Abadi"/>
                <w:b/>
                <w:bCs/>
              </w:rPr>
              <w:t>Response Time</w:t>
            </w:r>
          </w:p>
        </w:tc>
        <w:tc>
          <w:tcPr>
            <w:tcW w:w="0" w:type="auto"/>
            <w:hideMark/>
          </w:tcPr>
          <w:p w14:paraId="64D4A1DB" w14:textId="77777777" w:rsidR="003806E3" w:rsidRPr="003806E3" w:rsidRDefault="003806E3" w:rsidP="003806E3">
            <w:pPr>
              <w:spacing w:after="160" w:line="278" w:lineRule="auto"/>
              <w:rPr>
                <w:rFonts w:ascii="Abadi" w:hAnsi="Abadi"/>
              </w:rPr>
            </w:pPr>
            <w:r w:rsidRPr="003806E3">
              <w:rPr>
                <w:rFonts w:ascii="Abadi" w:hAnsi="Abadi"/>
              </w:rPr>
              <w:t>Critical: 30 minutes &lt;</w:t>
            </w:r>
            <w:proofErr w:type="spellStart"/>
            <w:r w:rsidRPr="003806E3">
              <w:rPr>
                <w:rFonts w:ascii="Abadi" w:hAnsi="Abadi"/>
              </w:rPr>
              <w:t>br</w:t>
            </w:r>
            <w:proofErr w:type="spellEnd"/>
            <w:r w:rsidRPr="003806E3">
              <w:rPr>
                <w:rFonts w:ascii="Abadi" w:hAnsi="Abadi"/>
              </w:rPr>
              <w:t>&gt; High: 1 hour &lt;</w:t>
            </w:r>
            <w:proofErr w:type="spellStart"/>
            <w:r w:rsidRPr="003806E3">
              <w:rPr>
                <w:rFonts w:ascii="Abadi" w:hAnsi="Abadi"/>
              </w:rPr>
              <w:t>br</w:t>
            </w:r>
            <w:proofErr w:type="spellEnd"/>
            <w:r w:rsidRPr="003806E3">
              <w:rPr>
                <w:rFonts w:ascii="Abadi" w:hAnsi="Abadi"/>
              </w:rPr>
              <w:t>&gt; Medium: 4 hours &lt;</w:t>
            </w:r>
            <w:proofErr w:type="spellStart"/>
            <w:r w:rsidRPr="003806E3">
              <w:rPr>
                <w:rFonts w:ascii="Abadi" w:hAnsi="Abadi"/>
              </w:rPr>
              <w:t>br</w:t>
            </w:r>
            <w:proofErr w:type="spellEnd"/>
            <w:r w:rsidRPr="003806E3">
              <w:rPr>
                <w:rFonts w:ascii="Abadi" w:hAnsi="Abadi"/>
              </w:rPr>
              <w:t>&gt; Low: 24 hours</w:t>
            </w:r>
          </w:p>
        </w:tc>
        <w:tc>
          <w:tcPr>
            <w:tcW w:w="0" w:type="auto"/>
            <w:hideMark/>
          </w:tcPr>
          <w:p w14:paraId="4C522853" w14:textId="77777777" w:rsidR="003806E3" w:rsidRPr="003806E3" w:rsidRDefault="003806E3" w:rsidP="003806E3">
            <w:pPr>
              <w:spacing w:after="160" w:line="278" w:lineRule="auto"/>
              <w:rPr>
                <w:rFonts w:ascii="Abadi" w:hAnsi="Abadi"/>
              </w:rPr>
            </w:pPr>
            <w:r w:rsidRPr="003806E3">
              <w:rPr>
                <w:rFonts w:ascii="Abadi" w:hAnsi="Abadi"/>
              </w:rPr>
              <w:t>Ticketing system timestamps</w:t>
            </w:r>
          </w:p>
        </w:tc>
        <w:tc>
          <w:tcPr>
            <w:tcW w:w="0" w:type="auto"/>
            <w:hideMark/>
          </w:tcPr>
          <w:p w14:paraId="06E1CE53" w14:textId="77777777" w:rsidR="003806E3" w:rsidRPr="003806E3" w:rsidRDefault="003806E3" w:rsidP="003806E3">
            <w:pPr>
              <w:spacing w:after="160" w:line="278" w:lineRule="auto"/>
              <w:rPr>
                <w:rFonts w:ascii="Abadi" w:hAnsi="Abadi"/>
              </w:rPr>
            </w:pPr>
            <w:r w:rsidRPr="003806E3">
              <w:rPr>
                <w:rFonts w:ascii="Abadi" w:hAnsi="Abadi"/>
              </w:rPr>
              <w:t>Based on issue impact</w:t>
            </w:r>
          </w:p>
        </w:tc>
      </w:tr>
      <w:tr w:rsidR="003806E3" w:rsidRPr="003806E3" w14:paraId="32C28C60" w14:textId="77777777" w:rsidTr="003806E3">
        <w:trPr>
          <w:trHeight w:val="1116"/>
        </w:trPr>
        <w:tc>
          <w:tcPr>
            <w:tcW w:w="0" w:type="auto"/>
            <w:hideMark/>
          </w:tcPr>
          <w:p w14:paraId="7C32AEA8" w14:textId="77777777" w:rsidR="003806E3" w:rsidRPr="003806E3" w:rsidRDefault="003806E3" w:rsidP="003806E3">
            <w:pPr>
              <w:spacing w:after="160" w:line="278" w:lineRule="auto"/>
              <w:rPr>
                <w:rFonts w:ascii="Abadi" w:hAnsi="Abadi"/>
              </w:rPr>
            </w:pPr>
            <w:r w:rsidRPr="003806E3">
              <w:rPr>
                <w:rFonts w:ascii="Abadi" w:hAnsi="Abadi"/>
                <w:b/>
                <w:bCs/>
              </w:rPr>
              <w:t>Resolution Time</w:t>
            </w:r>
          </w:p>
        </w:tc>
        <w:tc>
          <w:tcPr>
            <w:tcW w:w="0" w:type="auto"/>
            <w:hideMark/>
          </w:tcPr>
          <w:p w14:paraId="3F636BA0" w14:textId="77777777" w:rsidR="003806E3" w:rsidRPr="003806E3" w:rsidRDefault="003806E3" w:rsidP="003806E3">
            <w:pPr>
              <w:spacing w:after="160" w:line="278" w:lineRule="auto"/>
              <w:rPr>
                <w:rFonts w:ascii="Abadi" w:hAnsi="Abadi"/>
              </w:rPr>
            </w:pPr>
            <w:r w:rsidRPr="003806E3">
              <w:rPr>
                <w:rFonts w:ascii="Abadi" w:hAnsi="Abadi"/>
              </w:rPr>
              <w:t>Critical: 4 hours &lt;</w:t>
            </w:r>
            <w:proofErr w:type="spellStart"/>
            <w:r w:rsidRPr="003806E3">
              <w:rPr>
                <w:rFonts w:ascii="Abadi" w:hAnsi="Abadi"/>
              </w:rPr>
              <w:t>br</w:t>
            </w:r>
            <w:proofErr w:type="spellEnd"/>
            <w:r w:rsidRPr="003806E3">
              <w:rPr>
                <w:rFonts w:ascii="Abadi" w:hAnsi="Abadi"/>
              </w:rPr>
              <w:t>&gt; High: 8 hours &lt;</w:t>
            </w:r>
            <w:proofErr w:type="spellStart"/>
            <w:r w:rsidRPr="003806E3">
              <w:rPr>
                <w:rFonts w:ascii="Abadi" w:hAnsi="Abadi"/>
              </w:rPr>
              <w:t>br</w:t>
            </w:r>
            <w:proofErr w:type="spellEnd"/>
            <w:r w:rsidRPr="003806E3">
              <w:rPr>
                <w:rFonts w:ascii="Abadi" w:hAnsi="Abadi"/>
              </w:rPr>
              <w:t>&gt; Medium: 24 hours &lt;</w:t>
            </w:r>
            <w:proofErr w:type="spellStart"/>
            <w:r w:rsidRPr="003806E3">
              <w:rPr>
                <w:rFonts w:ascii="Abadi" w:hAnsi="Abadi"/>
              </w:rPr>
              <w:t>br</w:t>
            </w:r>
            <w:proofErr w:type="spellEnd"/>
            <w:r w:rsidRPr="003806E3">
              <w:rPr>
                <w:rFonts w:ascii="Abadi" w:hAnsi="Abadi"/>
              </w:rPr>
              <w:t>&gt; Low: 72 hours</w:t>
            </w:r>
          </w:p>
        </w:tc>
        <w:tc>
          <w:tcPr>
            <w:tcW w:w="0" w:type="auto"/>
            <w:hideMark/>
          </w:tcPr>
          <w:p w14:paraId="6424B80F" w14:textId="77777777" w:rsidR="003806E3" w:rsidRPr="003806E3" w:rsidRDefault="003806E3" w:rsidP="003806E3">
            <w:pPr>
              <w:spacing w:after="160" w:line="278" w:lineRule="auto"/>
              <w:rPr>
                <w:rFonts w:ascii="Abadi" w:hAnsi="Abadi"/>
              </w:rPr>
            </w:pPr>
            <w:r w:rsidRPr="003806E3">
              <w:rPr>
                <w:rFonts w:ascii="Abadi" w:hAnsi="Abadi"/>
              </w:rPr>
              <w:t>Ticket closure records</w:t>
            </w:r>
          </w:p>
        </w:tc>
        <w:tc>
          <w:tcPr>
            <w:tcW w:w="0" w:type="auto"/>
            <w:hideMark/>
          </w:tcPr>
          <w:p w14:paraId="6FB5F69B" w14:textId="77777777" w:rsidR="003806E3" w:rsidRPr="003806E3" w:rsidRDefault="003806E3" w:rsidP="003806E3">
            <w:pPr>
              <w:spacing w:after="160" w:line="278" w:lineRule="auto"/>
              <w:rPr>
                <w:rFonts w:ascii="Abadi" w:hAnsi="Abadi"/>
              </w:rPr>
            </w:pPr>
            <w:r w:rsidRPr="003806E3">
              <w:rPr>
                <w:rFonts w:ascii="Abadi" w:hAnsi="Abadi"/>
              </w:rPr>
              <w:t>Based on issue priority</w:t>
            </w:r>
          </w:p>
        </w:tc>
      </w:tr>
      <w:tr w:rsidR="003806E3" w:rsidRPr="003806E3" w14:paraId="657ABAAD" w14:textId="77777777" w:rsidTr="003806E3">
        <w:trPr>
          <w:trHeight w:val="792"/>
        </w:trPr>
        <w:tc>
          <w:tcPr>
            <w:tcW w:w="0" w:type="auto"/>
            <w:hideMark/>
          </w:tcPr>
          <w:p w14:paraId="6C900049" w14:textId="77777777" w:rsidR="003806E3" w:rsidRPr="003806E3" w:rsidRDefault="003806E3" w:rsidP="003806E3">
            <w:pPr>
              <w:spacing w:after="160" w:line="278" w:lineRule="auto"/>
              <w:rPr>
                <w:rFonts w:ascii="Abadi" w:hAnsi="Abadi"/>
              </w:rPr>
            </w:pPr>
            <w:r w:rsidRPr="003806E3">
              <w:rPr>
                <w:rFonts w:ascii="Abadi" w:hAnsi="Abadi"/>
                <w:b/>
                <w:bCs/>
              </w:rPr>
              <w:t>Customer Satisfaction</w:t>
            </w:r>
          </w:p>
        </w:tc>
        <w:tc>
          <w:tcPr>
            <w:tcW w:w="0" w:type="auto"/>
            <w:hideMark/>
          </w:tcPr>
          <w:p w14:paraId="6B67E04F" w14:textId="77777777" w:rsidR="003806E3" w:rsidRPr="003806E3" w:rsidRDefault="003806E3" w:rsidP="003806E3">
            <w:pPr>
              <w:spacing w:after="160" w:line="278" w:lineRule="auto"/>
              <w:rPr>
                <w:rFonts w:ascii="Abadi" w:hAnsi="Abadi"/>
              </w:rPr>
            </w:pPr>
            <w:r w:rsidRPr="003806E3">
              <w:rPr>
                <w:rFonts w:ascii="Abadi" w:hAnsi="Abadi"/>
              </w:rPr>
              <w:t>Minimum 90% positive</w:t>
            </w:r>
          </w:p>
        </w:tc>
        <w:tc>
          <w:tcPr>
            <w:tcW w:w="0" w:type="auto"/>
            <w:hideMark/>
          </w:tcPr>
          <w:p w14:paraId="0B153734" w14:textId="77777777" w:rsidR="003806E3" w:rsidRPr="003806E3" w:rsidRDefault="003806E3" w:rsidP="003806E3">
            <w:pPr>
              <w:spacing w:after="160" w:line="278" w:lineRule="auto"/>
              <w:rPr>
                <w:rFonts w:ascii="Abadi" w:hAnsi="Abadi"/>
              </w:rPr>
            </w:pPr>
            <w:r w:rsidRPr="003806E3">
              <w:rPr>
                <w:rFonts w:ascii="Abadi" w:hAnsi="Abadi"/>
              </w:rPr>
              <w:t>Regular feedback surveys</w:t>
            </w:r>
          </w:p>
        </w:tc>
        <w:tc>
          <w:tcPr>
            <w:tcW w:w="0" w:type="auto"/>
            <w:hideMark/>
          </w:tcPr>
          <w:p w14:paraId="47F38D26" w14:textId="77777777" w:rsidR="003806E3" w:rsidRPr="003806E3" w:rsidRDefault="003806E3" w:rsidP="003806E3">
            <w:pPr>
              <w:spacing w:after="160" w:line="278" w:lineRule="auto"/>
              <w:rPr>
                <w:rFonts w:ascii="Abadi" w:hAnsi="Abadi"/>
              </w:rPr>
            </w:pPr>
            <w:r w:rsidRPr="003806E3">
              <w:rPr>
                <w:rFonts w:ascii="Abadi" w:hAnsi="Abadi"/>
              </w:rPr>
              <w:t>Quarterly evaluation</w:t>
            </w:r>
          </w:p>
        </w:tc>
      </w:tr>
    </w:tbl>
    <w:p w14:paraId="7ECA39EA" w14:textId="77777777" w:rsidR="003806E3" w:rsidRDefault="003806E3" w:rsidP="003806E3">
      <w:pPr>
        <w:rPr>
          <w:rFonts w:ascii="Abadi" w:hAnsi="Abadi"/>
          <w:b/>
          <w:bCs/>
        </w:rPr>
      </w:pPr>
    </w:p>
    <w:p w14:paraId="7BF00E54" w14:textId="77777777" w:rsidR="003806E3" w:rsidRDefault="003806E3" w:rsidP="003806E3">
      <w:pPr>
        <w:rPr>
          <w:rFonts w:ascii="Abadi" w:hAnsi="Abadi"/>
          <w:b/>
          <w:bCs/>
        </w:rPr>
      </w:pPr>
    </w:p>
    <w:p w14:paraId="37E2AAB2" w14:textId="77777777" w:rsidR="003806E3" w:rsidRDefault="003806E3" w:rsidP="003806E3">
      <w:pPr>
        <w:rPr>
          <w:rFonts w:ascii="Abadi" w:hAnsi="Abadi"/>
          <w:b/>
          <w:bCs/>
        </w:rPr>
      </w:pPr>
    </w:p>
    <w:p w14:paraId="665D5D13" w14:textId="77777777" w:rsidR="003806E3" w:rsidRDefault="003806E3" w:rsidP="003806E3">
      <w:pPr>
        <w:rPr>
          <w:rFonts w:ascii="Abadi" w:hAnsi="Abadi"/>
          <w:b/>
          <w:bCs/>
        </w:rPr>
      </w:pPr>
    </w:p>
    <w:p w14:paraId="103228E3" w14:textId="0DBB529F" w:rsidR="003806E3" w:rsidRDefault="003806E3" w:rsidP="003806E3">
      <w:pPr>
        <w:rPr>
          <w:rFonts w:ascii="Abadi" w:hAnsi="Abadi"/>
          <w:b/>
          <w:bCs/>
        </w:rPr>
      </w:pPr>
      <w:r w:rsidRPr="003806E3">
        <w:rPr>
          <w:rFonts w:ascii="Abadi" w:hAnsi="Abadi"/>
          <w:b/>
          <w:bCs/>
        </w:rPr>
        <w:lastRenderedPageBreak/>
        <w:t>3. Reporting Procedures</w:t>
      </w:r>
    </w:p>
    <w:p w14:paraId="4BECBFF7" w14:textId="1AB44119" w:rsidR="003806E3" w:rsidRPr="003806E3" w:rsidRDefault="003806E3" w:rsidP="003806E3">
      <w:pPr>
        <w:rPr>
          <w:rFonts w:ascii="Abadi" w:hAnsi="Abadi"/>
          <w:b/>
          <w:bCs/>
        </w:rPr>
      </w:pPr>
      <w:r w:rsidRPr="003806E3">
        <w:rPr>
          <w:rFonts w:ascii="Abadi" w:hAnsi="Abadi"/>
          <w:b/>
          <w:bCs/>
        </w:rPr>
        <w:t>Monthly Performance Report</w:t>
      </w:r>
      <w:r w:rsidRPr="003806E3">
        <w:rPr>
          <w:rFonts w:ascii="Abadi" w:hAnsi="Abadi"/>
        </w:rPr>
        <w:t>: Tech Support Partners shall deliver a detailed report summarizing service availability, incident response and resolution performance, and customer satisfaction outcomes.</w:t>
      </w:r>
    </w:p>
    <w:p w14:paraId="548D4FDB" w14:textId="77777777" w:rsidR="003806E3" w:rsidRPr="003806E3" w:rsidRDefault="003806E3" w:rsidP="003806E3">
      <w:pPr>
        <w:numPr>
          <w:ilvl w:val="0"/>
          <w:numId w:val="61"/>
        </w:numPr>
        <w:rPr>
          <w:rFonts w:ascii="Abadi" w:hAnsi="Abadi"/>
        </w:rPr>
      </w:pPr>
      <w:r w:rsidRPr="003806E3">
        <w:rPr>
          <w:rFonts w:ascii="Abadi" w:hAnsi="Abadi"/>
          <w:b/>
          <w:bCs/>
        </w:rPr>
        <w:t>Incident Reporting</w:t>
      </w:r>
      <w:r w:rsidRPr="003806E3">
        <w:rPr>
          <w:rFonts w:ascii="Abadi" w:hAnsi="Abadi"/>
        </w:rPr>
        <w:t xml:space="preserve">: All incidents will be documented using a ticketing system accessible to ABS Company. Immediate notification will be provided </w:t>
      </w:r>
      <w:proofErr w:type="gramStart"/>
      <w:r w:rsidRPr="003806E3">
        <w:rPr>
          <w:rFonts w:ascii="Abadi" w:hAnsi="Abadi"/>
        </w:rPr>
        <w:t>for</w:t>
      </w:r>
      <w:proofErr w:type="gramEnd"/>
      <w:r w:rsidRPr="003806E3">
        <w:rPr>
          <w:rFonts w:ascii="Abadi" w:hAnsi="Abadi"/>
        </w:rPr>
        <w:t xml:space="preserve"> Critical and High severity incidents.</w:t>
      </w:r>
    </w:p>
    <w:p w14:paraId="4C3D5854" w14:textId="77777777" w:rsidR="003806E3" w:rsidRPr="003806E3" w:rsidRDefault="003806E3" w:rsidP="003806E3">
      <w:pPr>
        <w:numPr>
          <w:ilvl w:val="0"/>
          <w:numId w:val="61"/>
        </w:numPr>
        <w:rPr>
          <w:rFonts w:ascii="Abadi" w:hAnsi="Abadi"/>
        </w:rPr>
      </w:pPr>
      <w:r w:rsidRPr="003806E3">
        <w:rPr>
          <w:rFonts w:ascii="Abadi" w:hAnsi="Abadi"/>
          <w:b/>
          <w:bCs/>
        </w:rPr>
        <w:t>Review Meetings</w:t>
      </w:r>
      <w:r w:rsidRPr="003806E3">
        <w:rPr>
          <w:rFonts w:ascii="Abadi" w:hAnsi="Abadi"/>
        </w:rPr>
        <w:t>: Quarterly service review meetings will be held between representatives of both Parties to assess SLA compliance and discuss improvements.</w:t>
      </w:r>
    </w:p>
    <w:p w14:paraId="68726B33" w14:textId="77777777" w:rsidR="003806E3" w:rsidRPr="003806E3" w:rsidRDefault="003806E3" w:rsidP="003806E3">
      <w:pPr>
        <w:rPr>
          <w:rFonts w:ascii="Abadi" w:hAnsi="Abadi"/>
          <w:b/>
          <w:bCs/>
        </w:rPr>
      </w:pPr>
      <w:r w:rsidRPr="003806E3">
        <w:rPr>
          <w:rFonts w:ascii="Abadi" w:hAnsi="Abadi"/>
          <w:b/>
          <w:bCs/>
        </w:rPr>
        <w:t>4. Consequences of Underperformance</w:t>
      </w:r>
    </w:p>
    <w:p w14:paraId="088777D2" w14:textId="77777777" w:rsidR="003806E3" w:rsidRPr="003806E3" w:rsidRDefault="003806E3" w:rsidP="003806E3">
      <w:pPr>
        <w:numPr>
          <w:ilvl w:val="0"/>
          <w:numId w:val="62"/>
        </w:numPr>
        <w:rPr>
          <w:rFonts w:ascii="Abadi" w:hAnsi="Abadi"/>
        </w:rPr>
      </w:pPr>
      <w:r w:rsidRPr="003806E3">
        <w:rPr>
          <w:rFonts w:ascii="Abadi" w:hAnsi="Abadi"/>
        </w:rPr>
        <w:t xml:space="preserve">Should Tech Support Partners fail to meet the agreed Service Availability or Response Time targets </w:t>
      </w:r>
      <w:proofErr w:type="gramStart"/>
      <w:r w:rsidRPr="003806E3">
        <w:rPr>
          <w:rFonts w:ascii="Abadi" w:hAnsi="Abadi"/>
        </w:rPr>
        <w:t>in a given</w:t>
      </w:r>
      <w:proofErr w:type="gramEnd"/>
      <w:r w:rsidRPr="003806E3">
        <w:rPr>
          <w:rFonts w:ascii="Abadi" w:hAnsi="Abadi"/>
        </w:rPr>
        <w:t xml:space="preserve"> month on </w:t>
      </w:r>
      <w:r w:rsidRPr="003806E3">
        <w:rPr>
          <w:rFonts w:ascii="Abadi" w:hAnsi="Abadi"/>
          <w:b/>
          <w:bCs/>
        </w:rPr>
        <w:t>two (2) consecutive occasions</w:t>
      </w:r>
      <w:r w:rsidRPr="003806E3">
        <w:rPr>
          <w:rFonts w:ascii="Abadi" w:hAnsi="Abadi"/>
        </w:rPr>
        <w:t>, ABS Company may:</w:t>
      </w:r>
    </w:p>
    <w:p w14:paraId="500C632B" w14:textId="77777777" w:rsidR="003806E3" w:rsidRPr="003806E3" w:rsidRDefault="003806E3" w:rsidP="003806E3">
      <w:pPr>
        <w:numPr>
          <w:ilvl w:val="1"/>
          <w:numId w:val="62"/>
        </w:numPr>
        <w:rPr>
          <w:rFonts w:ascii="Abadi" w:hAnsi="Abadi"/>
        </w:rPr>
      </w:pPr>
      <w:r w:rsidRPr="003806E3">
        <w:rPr>
          <w:rFonts w:ascii="Abadi" w:hAnsi="Abadi"/>
        </w:rPr>
        <w:t>Request a corrective action plan with timelines.</w:t>
      </w:r>
    </w:p>
    <w:p w14:paraId="06454516" w14:textId="77777777" w:rsidR="003806E3" w:rsidRPr="003806E3" w:rsidRDefault="003806E3" w:rsidP="003806E3">
      <w:pPr>
        <w:numPr>
          <w:ilvl w:val="1"/>
          <w:numId w:val="62"/>
        </w:numPr>
        <w:rPr>
          <w:rFonts w:ascii="Abadi" w:hAnsi="Abadi"/>
        </w:rPr>
      </w:pPr>
      <w:r w:rsidRPr="003806E3">
        <w:rPr>
          <w:rFonts w:ascii="Abadi" w:hAnsi="Abadi"/>
        </w:rPr>
        <w:t xml:space="preserve">Agree upon financial </w:t>
      </w:r>
      <w:proofErr w:type="gramStart"/>
      <w:r w:rsidRPr="003806E3">
        <w:rPr>
          <w:rFonts w:ascii="Abadi" w:hAnsi="Abadi"/>
        </w:rPr>
        <w:t>credits</w:t>
      </w:r>
      <w:proofErr w:type="gramEnd"/>
      <w:r w:rsidRPr="003806E3">
        <w:rPr>
          <w:rFonts w:ascii="Abadi" w:hAnsi="Abadi"/>
        </w:rPr>
        <w:t xml:space="preserve"> or service fee reductions proportional to the impact of the underperformance.</w:t>
      </w:r>
    </w:p>
    <w:p w14:paraId="2A781604" w14:textId="77777777" w:rsidR="003806E3" w:rsidRPr="003806E3" w:rsidRDefault="003806E3" w:rsidP="003806E3">
      <w:pPr>
        <w:numPr>
          <w:ilvl w:val="1"/>
          <w:numId w:val="62"/>
        </w:numPr>
        <w:rPr>
          <w:rFonts w:ascii="Abadi" w:hAnsi="Abadi"/>
        </w:rPr>
      </w:pPr>
      <w:r w:rsidRPr="003806E3">
        <w:rPr>
          <w:rFonts w:ascii="Abadi" w:hAnsi="Abadi"/>
        </w:rPr>
        <w:t>Terminate this Agreement upon 30 days’ written notice if repeated failures persist.</w:t>
      </w:r>
    </w:p>
    <w:p w14:paraId="5BF153B2" w14:textId="77777777" w:rsidR="003806E3" w:rsidRPr="003806E3" w:rsidRDefault="003806E3" w:rsidP="003806E3">
      <w:pPr>
        <w:rPr>
          <w:rFonts w:ascii="Abadi" w:hAnsi="Abadi"/>
          <w:b/>
          <w:bCs/>
        </w:rPr>
      </w:pPr>
      <w:r w:rsidRPr="003806E3">
        <w:rPr>
          <w:rFonts w:ascii="Abadi" w:hAnsi="Abadi"/>
          <w:b/>
          <w:bCs/>
        </w:rPr>
        <w:t>5. General Terms</w:t>
      </w:r>
    </w:p>
    <w:p w14:paraId="5424AF00" w14:textId="77777777" w:rsidR="003806E3" w:rsidRPr="003806E3" w:rsidRDefault="003806E3" w:rsidP="003806E3">
      <w:pPr>
        <w:numPr>
          <w:ilvl w:val="0"/>
          <w:numId w:val="63"/>
        </w:numPr>
        <w:rPr>
          <w:rFonts w:ascii="Abadi" w:hAnsi="Abadi"/>
        </w:rPr>
      </w:pPr>
      <w:r w:rsidRPr="003806E3">
        <w:rPr>
          <w:rFonts w:ascii="Abadi" w:hAnsi="Abadi"/>
        </w:rPr>
        <w:t>Both Parties agree to collaborate in good faith to resolve any issues impacting service delivery.</w:t>
      </w:r>
    </w:p>
    <w:p w14:paraId="1E5A7CF3" w14:textId="77777777" w:rsidR="003806E3" w:rsidRPr="003806E3" w:rsidRDefault="003806E3" w:rsidP="003806E3">
      <w:pPr>
        <w:numPr>
          <w:ilvl w:val="0"/>
          <w:numId w:val="63"/>
        </w:numPr>
        <w:rPr>
          <w:rFonts w:ascii="Abadi" w:hAnsi="Abadi"/>
        </w:rPr>
      </w:pPr>
      <w:r w:rsidRPr="003806E3">
        <w:rPr>
          <w:rFonts w:ascii="Abadi" w:hAnsi="Abadi"/>
        </w:rPr>
        <w:t>Modifications to the SLA must be made in writing and signed by authorized representatives.</w:t>
      </w:r>
    </w:p>
    <w:p w14:paraId="71BAAB2C" w14:textId="24EE2601" w:rsidR="003806E3" w:rsidRPr="003806E3" w:rsidRDefault="003806E3" w:rsidP="003806E3">
      <w:pPr>
        <w:rPr>
          <w:rFonts w:ascii="Abadi" w:hAnsi="Abadi"/>
        </w:rPr>
      </w:pPr>
      <w:r w:rsidRPr="003806E3">
        <w:rPr>
          <w:rFonts w:ascii="Abadi" w:hAnsi="Abadi"/>
          <w:i/>
          <w:iCs/>
        </w:rPr>
        <w:t>Signed this [Date]</w:t>
      </w:r>
    </w:p>
    <w:p w14:paraId="2145AF65" w14:textId="77777777" w:rsidR="003806E3" w:rsidRPr="003806E3" w:rsidRDefault="003806E3" w:rsidP="003806E3">
      <w:pPr>
        <w:rPr>
          <w:rFonts w:ascii="Abadi" w:hAnsi="Abadi"/>
        </w:rPr>
      </w:pPr>
      <w:r w:rsidRPr="003806E3">
        <w:rPr>
          <w:rFonts w:ascii="Abadi" w:hAnsi="Abadi"/>
        </w:rPr>
        <w:t>For Tech Support Partners</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F59C6" w14:textId="77777777" w:rsidR="002B6512" w:rsidRDefault="002B6512" w:rsidP="004C0682">
      <w:pPr>
        <w:spacing w:after="0" w:line="240" w:lineRule="auto"/>
      </w:pPr>
      <w:r>
        <w:separator/>
      </w:r>
    </w:p>
  </w:endnote>
  <w:endnote w:type="continuationSeparator" w:id="0">
    <w:p w14:paraId="12F097C8" w14:textId="77777777" w:rsidR="002B6512" w:rsidRDefault="002B6512"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76F732B4"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2010005B"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0F1ECA7"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93462" w14:textId="77777777" w:rsidR="002B6512" w:rsidRDefault="002B6512" w:rsidP="004C0682">
      <w:pPr>
        <w:spacing w:after="0" w:line="240" w:lineRule="auto"/>
      </w:pPr>
      <w:r>
        <w:separator/>
      </w:r>
    </w:p>
  </w:footnote>
  <w:footnote w:type="continuationSeparator" w:id="0">
    <w:p w14:paraId="442120A6" w14:textId="77777777" w:rsidR="002B6512" w:rsidRDefault="002B6512"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4CCF99E4" w:rsidR="004C0682" w:rsidRPr="00A9196C" w:rsidRDefault="003806E3" w:rsidP="00E8651E">
    <w:pPr>
      <w:rPr>
        <w:rFonts w:ascii="Abadi" w:hAnsi="Abadi"/>
        <w:b/>
        <w:bCs/>
      </w:rPr>
    </w:pPr>
    <w:r w:rsidRPr="003806E3">
      <w:rPr>
        <w:rFonts w:ascii="Abadi" w:hAnsi="Abadi"/>
        <w:b/>
        <w:bCs/>
      </w:rPr>
      <w:t>Service Level Agreement (SLA)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9"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30"/>
  </w:num>
  <w:num w:numId="2" w16cid:durableId="762915132">
    <w:abstractNumId w:val="18"/>
  </w:num>
  <w:num w:numId="3" w16cid:durableId="2039310681">
    <w:abstractNumId w:val="33"/>
  </w:num>
  <w:num w:numId="4" w16cid:durableId="810828410">
    <w:abstractNumId w:val="2"/>
  </w:num>
  <w:num w:numId="5" w16cid:durableId="2104839381">
    <w:abstractNumId w:val="40"/>
  </w:num>
  <w:num w:numId="6" w16cid:durableId="731463108">
    <w:abstractNumId w:val="52"/>
  </w:num>
  <w:num w:numId="7" w16cid:durableId="1320884562">
    <w:abstractNumId w:val="46"/>
  </w:num>
  <w:num w:numId="8" w16cid:durableId="785081841">
    <w:abstractNumId w:val="3"/>
  </w:num>
  <w:num w:numId="9" w16cid:durableId="945117720">
    <w:abstractNumId w:val="24"/>
  </w:num>
  <w:num w:numId="10" w16cid:durableId="720910439">
    <w:abstractNumId w:val="6"/>
  </w:num>
  <w:num w:numId="11" w16cid:durableId="526139461">
    <w:abstractNumId w:val="51"/>
  </w:num>
  <w:num w:numId="12" w16cid:durableId="1803032305">
    <w:abstractNumId w:val="22"/>
  </w:num>
  <w:num w:numId="13" w16cid:durableId="1073621753">
    <w:abstractNumId w:val="48"/>
  </w:num>
  <w:num w:numId="14" w16cid:durableId="1230656480">
    <w:abstractNumId w:val="38"/>
  </w:num>
  <w:num w:numId="15" w16cid:durableId="951016922">
    <w:abstractNumId w:val="60"/>
  </w:num>
  <w:num w:numId="16" w16cid:durableId="1943370035">
    <w:abstractNumId w:val="49"/>
  </w:num>
  <w:num w:numId="17" w16cid:durableId="775059297">
    <w:abstractNumId w:val="14"/>
  </w:num>
  <w:num w:numId="18" w16cid:durableId="1108935789">
    <w:abstractNumId w:val="53"/>
  </w:num>
  <w:num w:numId="19" w16cid:durableId="1834494179">
    <w:abstractNumId w:val="16"/>
  </w:num>
  <w:num w:numId="20" w16cid:durableId="81142954">
    <w:abstractNumId w:val="0"/>
  </w:num>
  <w:num w:numId="21" w16cid:durableId="801850312">
    <w:abstractNumId w:val="44"/>
  </w:num>
  <w:num w:numId="22" w16cid:durableId="605773939">
    <w:abstractNumId w:val="13"/>
  </w:num>
  <w:num w:numId="23" w16cid:durableId="2045018000">
    <w:abstractNumId w:val="31"/>
  </w:num>
  <w:num w:numId="24" w16cid:durableId="1550726494">
    <w:abstractNumId w:val="34"/>
  </w:num>
  <w:num w:numId="25" w16cid:durableId="1012999443">
    <w:abstractNumId w:val="9"/>
  </w:num>
  <w:num w:numId="26" w16cid:durableId="975450622">
    <w:abstractNumId w:val="11"/>
  </w:num>
  <w:num w:numId="27" w16cid:durableId="2060468289">
    <w:abstractNumId w:val="4"/>
  </w:num>
  <w:num w:numId="28" w16cid:durableId="1266618495">
    <w:abstractNumId w:val="32"/>
  </w:num>
  <w:num w:numId="29" w16cid:durableId="43453692">
    <w:abstractNumId w:val="7"/>
  </w:num>
  <w:num w:numId="30" w16cid:durableId="1072195318">
    <w:abstractNumId w:val="50"/>
  </w:num>
  <w:num w:numId="31" w16cid:durableId="989359170">
    <w:abstractNumId w:val="26"/>
  </w:num>
  <w:num w:numId="32" w16cid:durableId="1694309570">
    <w:abstractNumId w:val="62"/>
  </w:num>
  <w:num w:numId="33" w16cid:durableId="53892328">
    <w:abstractNumId w:val="43"/>
  </w:num>
  <w:num w:numId="34" w16cid:durableId="1892304019">
    <w:abstractNumId w:val="8"/>
  </w:num>
  <w:num w:numId="35" w16cid:durableId="1112555002">
    <w:abstractNumId w:val="56"/>
  </w:num>
  <w:num w:numId="36" w16cid:durableId="535507761">
    <w:abstractNumId w:val="39"/>
  </w:num>
  <w:num w:numId="37" w16cid:durableId="231740123">
    <w:abstractNumId w:val="5"/>
  </w:num>
  <w:num w:numId="38" w16cid:durableId="1164005357">
    <w:abstractNumId w:val="21"/>
  </w:num>
  <w:num w:numId="39" w16cid:durableId="1013148336">
    <w:abstractNumId w:val="1"/>
  </w:num>
  <w:num w:numId="40" w16cid:durableId="1047532158">
    <w:abstractNumId w:val="29"/>
  </w:num>
  <w:num w:numId="41" w16cid:durableId="254898318">
    <w:abstractNumId w:val="19"/>
  </w:num>
  <w:num w:numId="42" w16cid:durableId="1955868391">
    <w:abstractNumId w:val="42"/>
  </w:num>
  <w:num w:numId="43" w16cid:durableId="2089495709">
    <w:abstractNumId w:val="12"/>
  </w:num>
  <w:num w:numId="44" w16cid:durableId="952902662">
    <w:abstractNumId w:val="28"/>
  </w:num>
  <w:num w:numId="45" w16cid:durableId="1336567477">
    <w:abstractNumId w:val="23"/>
  </w:num>
  <w:num w:numId="46" w16cid:durableId="502934200">
    <w:abstractNumId w:val="47"/>
  </w:num>
  <w:num w:numId="47" w16cid:durableId="1769079394">
    <w:abstractNumId w:val="61"/>
  </w:num>
  <w:num w:numId="48" w16cid:durableId="97258662">
    <w:abstractNumId w:val="20"/>
  </w:num>
  <w:num w:numId="49" w16cid:durableId="851453306">
    <w:abstractNumId w:val="45"/>
  </w:num>
  <w:num w:numId="50" w16cid:durableId="711268313">
    <w:abstractNumId w:val="55"/>
  </w:num>
  <w:num w:numId="51" w16cid:durableId="156269711">
    <w:abstractNumId w:val="15"/>
  </w:num>
  <w:num w:numId="52" w16cid:durableId="1797403534">
    <w:abstractNumId w:val="35"/>
  </w:num>
  <w:num w:numId="53" w16cid:durableId="49888553">
    <w:abstractNumId w:val="36"/>
  </w:num>
  <w:num w:numId="54" w16cid:durableId="1604730066">
    <w:abstractNumId w:val="10"/>
  </w:num>
  <w:num w:numId="55" w16cid:durableId="697852842">
    <w:abstractNumId w:val="59"/>
  </w:num>
  <w:num w:numId="56" w16cid:durableId="1213687714">
    <w:abstractNumId w:val="27"/>
  </w:num>
  <w:num w:numId="57" w16cid:durableId="448398863">
    <w:abstractNumId w:val="57"/>
  </w:num>
  <w:num w:numId="58" w16cid:durableId="2128229107">
    <w:abstractNumId w:val="54"/>
  </w:num>
  <w:num w:numId="59" w16cid:durableId="1669480572">
    <w:abstractNumId w:val="37"/>
  </w:num>
  <w:num w:numId="60" w16cid:durableId="1052267681">
    <w:abstractNumId w:val="17"/>
  </w:num>
  <w:num w:numId="61" w16cid:durableId="930819853">
    <w:abstractNumId w:val="41"/>
  </w:num>
  <w:num w:numId="62" w16cid:durableId="165634807">
    <w:abstractNumId w:val="25"/>
  </w:num>
  <w:num w:numId="63" w16cid:durableId="1758481517">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B6512"/>
    <w:rsid w:val="002D03AE"/>
    <w:rsid w:val="002D4CAD"/>
    <w:rsid w:val="003806E3"/>
    <w:rsid w:val="004C0682"/>
    <w:rsid w:val="00625AD7"/>
    <w:rsid w:val="00656332"/>
    <w:rsid w:val="00693B0C"/>
    <w:rsid w:val="006942A5"/>
    <w:rsid w:val="006B4FDD"/>
    <w:rsid w:val="00874AEB"/>
    <w:rsid w:val="00893AA8"/>
    <w:rsid w:val="00897B38"/>
    <w:rsid w:val="008B760E"/>
    <w:rsid w:val="00933BE5"/>
    <w:rsid w:val="00A15A9F"/>
    <w:rsid w:val="00A9196C"/>
    <w:rsid w:val="00B86F8C"/>
    <w:rsid w:val="00BE4350"/>
    <w:rsid w:val="00C56CFF"/>
    <w:rsid w:val="00CB5429"/>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2025-04-26T09:09:00Z</dcterms:created>
  <dcterms:modified xsi:type="dcterms:W3CDTF">2025-04-26T09:09:00Z</dcterms:modified>
</cp:coreProperties>
</file>