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56"/>
      </w:tblGrid>
      <w:tr w:rsidR="009E59B7" w14:paraId="2B824270" w14:textId="77777777" w:rsidTr="00F77168">
        <w:trPr>
          <w:trHeight w:val="801"/>
        </w:trPr>
        <w:tc>
          <w:tcPr>
            <w:tcW w:w="5000" w:type="pct"/>
            <w:tcBorders>
              <w:top w:val="none" w:sz="0" w:space="0" w:color="FFFFFF"/>
              <w:left w:val="none" w:sz="0" w:space="0" w:color="FFFFFF"/>
              <w:bottom w:val="none" w:sz="0" w:space="0" w:color="FFFFFF"/>
              <w:right w:val="none" w:sz="0" w:space="0" w:color="FFFFFF"/>
            </w:tcBorders>
            <w:shd w:val="clear" w:color="FFFFFF" w:fill="2B5A7C"/>
          </w:tcPr>
          <w:p w14:paraId="78013882" w14:textId="77777777" w:rsidR="009E59B7" w:rsidRDefault="009E59B7" w:rsidP="00F77168">
            <w:pPr>
              <w:spacing w:before="120"/>
              <w:jc w:val="center"/>
            </w:pPr>
            <w:r>
              <w:rPr>
                <w:b/>
                <w:bCs/>
                <w:color w:val="FFFFFF"/>
                <w:sz w:val="32"/>
                <w:szCs w:val="32"/>
              </w:rPr>
              <w:t>Stream Tiered Assessment Framework (STAF)</w:t>
            </w:r>
          </w:p>
          <w:p w14:paraId="61E1B8FA" w14:textId="7356D8F0" w:rsidR="009E59B7" w:rsidRDefault="009E59B7" w:rsidP="00F77168">
            <w:pPr>
              <w:spacing w:before="40" w:after="120"/>
              <w:jc w:val="center"/>
            </w:pPr>
            <w:r>
              <w:rPr>
                <w:i/>
                <w:iCs/>
                <w:color w:val="FFFFFF"/>
                <w:sz w:val="22"/>
                <w:szCs w:val="22"/>
              </w:rPr>
              <w:t>Function, Outcome, and Ecosystem Condition Relationship Map</w:t>
            </w:r>
          </w:p>
        </w:tc>
      </w:tr>
    </w:tbl>
    <w:p w14:paraId="58180A36" w14:textId="77777777" w:rsidR="009E59B7" w:rsidRDefault="009E59B7"/>
    <w:p w14:paraId="72146F62" w14:textId="042F4AB7" w:rsidR="009E59B7" w:rsidRDefault="009E59B7">
      <w:r w:rsidRPr="009E59B7">
        <w:drawing>
          <wp:inline distT="0" distB="0" distL="0" distR="0" wp14:anchorId="2551F153" wp14:editId="648FAB97">
            <wp:extent cx="6766560" cy="7094220"/>
            <wp:effectExtent l="0" t="0" r="0" b="0"/>
            <wp:docPr id="162448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5529" name=""/>
                    <pic:cNvPicPr/>
                  </pic:nvPicPr>
                  <pic:blipFill>
                    <a:blip r:embed="rId5"/>
                    <a:stretch>
                      <a:fillRect/>
                    </a:stretch>
                  </pic:blipFill>
                  <pic:spPr>
                    <a:xfrm>
                      <a:off x="0" y="0"/>
                      <a:ext cx="6766560" cy="7094220"/>
                    </a:xfrm>
                    <a:prstGeom prst="rect">
                      <a:avLst/>
                    </a:prstGeom>
                  </pic:spPr>
                </pic:pic>
              </a:graphicData>
            </a:graphic>
          </wp:inline>
        </w:drawing>
      </w:r>
    </w:p>
    <w:p w14:paraId="0713231B" w14:textId="77777777" w:rsidR="009E59B7" w:rsidRDefault="009E59B7"/>
    <w:p w14:paraId="3667D715" w14:textId="77777777" w:rsidR="009E59B7" w:rsidRDefault="009E59B7"/>
    <w:p w14:paraId="1A0E1F24" w14:textId="77777777" w:rsidR="009E59B7" w:rsidRDefault="009E59B7"/>
    <w:p w14:paraId="228ED026" w14:textId="77777777" w:rsidR="009E59B7" w:rsidRDefault="009E59B7"/>
    <w:p w14:paraId="7091D901" w14:textId="77777777" w:rsidR="009E59B7" w:rsidRDefault="009E59B7"/>
    <w:p w14:paraId="54DC0E52" w14:textId="77777777" w:rsidR="009E59B7" w:rsidRDefault="009E59B7"/>
    <w:p w14:paraId="3ADA2187" w14:textId="77777777" w:rsidR="009E59B7" w:rsidRDefault="009E59B7"/>
    <w:p w14:paraId="3C3C4EC0" w14:textId="77777777" w:rsidR="009E59B7" w:rsidRDefault="009E59B7"/>
    <w:p w14:paraId="295598D5" w14:textId="77777777" w:rsidR="009E59B7" w:rsidRDefault="009E59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56"/>
      </w:tblGrid>
      <w:tr w:rsidR="00463050" w14:paraId="5805A5FD" w14:textId="77777777" w:rsidTr="002B2636">
        <w:trPr>
          <w:trHeight w:val="801"/>
        </w:trPr>
        <w:tc>
          <w:tcPr>
            <w:tcW w:w="5000" w:type="pct"/>
            <w:tcBorders>
              <w:top w:val="none" w:sz="0" w:space="0" w:color="FFFFFF"/>
              <w:left w:val="none" w:sz="0" w:space="0" w:color="FFFFFF"/>
              <w:bottom w:val="none" w:sz="0" w:space="0" w:color="FFFFFF"/>
              <w:right w:val="none" w:sz="0" w:space="0" w:color="FFFFFF"/>
            </w:tcBorders>
            <w:shd w:val="clear" w:color="FFFFFF" w:fill="2B5A7C"/>
          </w:tcPr>
          <w:p w14:paraId="41A2398E" w14:textId="77777777" w:rsidR="00463050" w:rsidRDefault="00281872">
            <w:pPr>
              <w:spacing w:before="120"/>
              <w:jc w:val="center"/>
            </w:pPr>
            <w:r>
              <w:rPr>
                <w:b/>
                <w:bCs/>
                <w:color w:val="FFFFFF"/>
                <w:sz w:val="32"/>
                <w:szCs w:val="32"/>
              </w:rPr>
              <w:lastRenderedPageBreak/>
              <w:t>Stream Tiered Assessment Framework (STAF)</w:t>
            </w:r>
          </w:p>
          <w:p w14:paraId="0786C379" w14:textId="77777777" w:rsidR="00463050" w:rsidRDefault="00281872">
            <w:pPr>
              <w:spacing w:before="40" w:after="120"/>
              <w:jc w:val="center"/>
            </w:pPr>
            <w:r>
              <w:rPr>
                <w:i/>
                <w:iCs/>
                <w:color w:val="FFFFFF"/>
                <w:sz w:val="22"/>
                <w:szCs w:val="22"/>
              </w:rPr>
              <w:t>A structured approach to assessing stream ecosystem condition</w:t>
            </w:r>
          </w:p>
        </w:tc>
      </w:tr>
    </w:tbl>
    <w:p w14:paraId="6BBDBB1E" w14:textId="77777777" w:rsidR="00463050" w:rsidRDefault="00281872">
      <w:pPr>
        <w:pBdr>
          <w:bottom w:val="single" w:sz="1" w:space="2" w:color="2B5A7C"/>
        </w:pBdr>
        <w:spacing w:before="200" w:after="80"/>
      </w:pPr>
      <w:r>
        <w:rPr>
          <w:b/>
          <w:bCs/>
          <w:color w:val="2B5A7C"/>
          <w:sz w:val="24"/>
          <w:szCs w:val="24"/>
        </w:rPr>
        <w:t>Background and Need</w:t>
      </w:r>
    </w:p>
    <w:p w14:paraId="68C0506D" w14:textId="77777777" w:rsidR="00463050" w:rsidRPr="002B2636" w:rsidRDefault="00281872">
      <w:pPr>
        <w:spacing w:before="60" w:after="60"/>
        <w:rPr>
          <w:sz w:val="22"/>
          <w:szCs w:val="22"/>
        </w:rPr>
      </w:pPr>
      <w:r w:rsidRPr="002B2636">
        <w:rPr>
          <w:sz w:val="22"/>
          <w:szCs w:val="22"/>
        </w:rPr>
        <w:t>USACE planners, engineers, and practitioners need tools for holistically assessing stream structure, function, and dynamic processes. Existing approaches have often relied on species-specific habitat models that focus narrowly on single taxa and do not capture ecosystem-scale outcomes. At the same time, the Civil Works planning process (SMART Planning) imposes different modeling needs as projects progress, from rapid site screening with sparse data (1–3 months) through conceptual design (12–20 months) to final design and post-construction monitoring. There is no standardized, nationally applicable framework that scales assessment effort to project phase while keeping results comparable.</w:t>
      </w:r>
    </w:p>
    <w:p w14:paraId="34DA6068" w14:textId="77777777" w:rsidR="00463050" w:rsidRPr="002B2636" w:rsidRDefault="00281872">
      <w:pPr>
        <w:spacing w:before="60" w:after="60"/>
        <w:rPr>
          <w:sz w:val="22"/>
          <w:szCs w:val="22"/>
        </w:rPr>
      </w:pPr>
      <w:r w:rsidRPr="002B2636">
        <w:rPr>
          <w:sz w:val="22"/>
          <w:szCs w:val="22"/>
        </w:rPr>
        <w:t>A review of 188 stream assessment methods in the U.S. found that most methods do not evaluate the full range of ecosystem functions, there is limited guidance on matching effort to project phase, and results are difficult to compare across methods, projects, and regions.</w:t>
      </w:r>
    </w:p>
    <w:p w14:paraId="38B14475" w14:textId="77777777" w:rsidR="00463050" w:rsidRDefault="00281872">
      <w:pPr>
        <w:pBdr>
          <w:bottom w:val="single" w:sz="1" w:space="2" w:color="2B5A7C"/>
        </w:pBdr>
        <w:spacing w:before="200" w:after="80"/>
      </w:pPr>
      <w:r>
        <w:rPr>
          <w:b/>
          <w:bCs/>
          <w:color w:val="2B5A7C"/>
          <w:sz w:val="24"/>
          <w:szCs w:val="24"/>
        </w:rPr>
        <w:t>The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2"/>
        <w:gridCol w:w="3552"/>
        <w:gridCol w:w="3552"/>
      </w:tblGrid>
      <w:tr w:rsidR="00463050" w14:paraId="4A3FDC41" w14:textId="77777777">
        <w:tc>
          <w:tcPr>
            <w:tcW w:w="1650" w:type="pct"/>
            <w:tcBorders>
              <w:top w:val="none" w:sz="0" w:space="0" w:color="FFFFFF"/>
              <w:left w:val="none" w:sz="0" w:space="0" w:color="FFFFFF"/>
              <w:bottom w:val="none" w:sz="0" w:space="0" w:color="FFFFFF"/>
              <w:right w:val="none" w:sz="0" w:space="0" w:color="FFFFFF"/>
            </w:tcBorders>
            <w:shd w:val="clear" w:color="000000" w:fill="F0F4F7"/>
            <w:tcMar>
              <w:top w:w="60" w:type="dxa"/>
              <w:left w:w="80" w:type="dxa"/>
              <w:bottom w:w="60" w:type="dxa"/>
              <w:right w:w="80" w:type="dxa"/>
            </w:tcMar>
          </w:tcPr>
          <w:p w14:paraId="039C0BB5" w14:textId="77777777" w:rsidR="00463050" w:rsidRPr="002B2636" w:rsidRDefault="00281872">
            <w:pPr>
              <w:spacing w:after="60"/>
              <w:rPr>
                <w:sz w:val="22"/>
                <w:szCs w:val="22"/>
              </w:rPr>
            </w:pPr>
            <w:r w:rsidRPr="002B2636">
              <w:rPr>
                <w:b/>
                <w:bCs/>
                <w:color w:val="2B5A7C"/>
                <w:sz w:val="22"/>
                <w:szCs w:val="22"/>
              </w:rPr>
              <w:t>Screening Tier</w:t>
            </w:r>
          </w:p>
          <w:p w14:paraId="1479D202" w14:textId="77777777" w:rsidR="00463050" w:rsidRPr="002B2636" w:rsidRDefault="00281872">
            <w:pPr>
              <w:spacing w:before="30" w:after="30"/>
              <w:rPr>
                <w:sz w:val="22"/>
                <w:szCs w:val="22"/>
              </w:rPr>
            </w:pPr>
            <w:r w:rsidRPr="002B2636">
              <w:rPr>
                <w:b/>
                <w:bCs/>
                <w:sz w:val="22"/>
                <w:szCs w:val="22"/>
              </w:rPr>
              <w:t xml:space="preserve">Goal: </w:t>
            </w:r>
            <w:r w:rsidRPr="002B2636">
              <w:rPr>
                <w:sz w:val="22"/>
                <w:szCs w:val="22"/>
              </w:rPr>
              <w:t>Provides a broad, watershed or landscape-scale snapshot. Identifies constraints, opportunities, and where additional effort may be needed.</w:t>
            </w:r>
          </w:p>
          <w:p w14:paraId="207A537F" w14:textId="77777777" w:rsidR="00463050" w:rsidRPr="002B2636" w:rsidRDefault="00281872">
            <w:pPr>
              <w:spacing w:before="30" w:after="30"/>
              <w:rPr>
                <w:sz w:val="22"/>
                <w:szCs w:val="22"/>
              </w:rPr>
            </w:pPr>
            <w:r w:rsidRPr="002B2636">
              <w:rPr>
                <w:b/>
                <w:bCs/>
                <w:sz w:val="22"/>
                <w:szCs w:val="22"/>
              </w:rPr>
              <w:t xml:space="preserve">Data sources: </w:t>
            </w:r>
            <w:r w:rsidRPr="002B2636">
              <w:rPr>
                <w:sz w:val="22"/>
                <w:szCs w:val="22"/>
              </w:rPr>
              <w:t>Desktop GIS, existing data review, limited site photos, and brief recon where available.</w:t>
            </w:r>
          </w:p>
          <w:p w14:paraId="0FE1EE88" w14:textId="77777777" w:rsidR="00463050" w:rsidRPr="002B2636" w:rsidRDefault="00281872">
            <w:pPr>
              <w:spacing w:before="30" w:after="30"/>
              <w:rPr>
                <w:sz w:val="22"/>
                <w:szCs w:val="22"/>
              </w:rPr>
            </w:pPr>
            <w:r w:rsidRPr="002B2636">
              <w:rPr>
                <w:b/>
                <w:bCs/>
                <w:sz w:val="22"/>
                <w:szCs w:val="22"/>
              </w:rPr>
              <w:t xml:space="preserve">Effort: </w:t>
            </w:r>
            <w:r w:rsidRPr="002B2636">
              <w:rPr>
                <w:sz w:val="22"/>
                <w:szCs w:val="22"/>
              </w:rPr>
              <w:t>Minutes to hours.</w:t>
            </w:r>
          </w:p>
          <w:p w14:paraId="69887E24" w14:textId="77777777" w:rsidR="00463050" w:rsidRPr="002B2636" w:rsidRDefault="00281872">
            <w:pPr>
              <w:spacing w:before="30" w:after="30"/>
              <w:rPr>
                <w:sz w:val="22"/>
                <w:szCs w:val="22"/>
              </w:rPr>
            </w:pPr>
            <w:r w:rsidRPr="002B2636">
              <w:rPr>
                <w:b/>
                <w:bCs/>
                <w:sz w:val="22"/>
                <w:szCs w:val="22"/>
              </w:rPr>
              <w:t xml:space="preserve">Uses: </w:t>
            </w:r>
            <w:r w:rsidRPr="002B2636">
              <w:rPr>
                <w:sz w:val="22"/>
                <w:szCs w:val="22"/>
              </w:rPr>
              <w:t>Scoping and site screening.</w:t>
            </w:r>
          </w:p>
        </w:tc>
        <w:tc>
          <w:tcPr>
            <w:tcW w:w="1650" w:type="pct"/>
            <w:tcBorders>
              <w:top w:val="none" w:sz="0" w:space="0" w:color="FFFFFF"/>
              <w:left w:val="none" w:sz="0" w:space="0" w:color="FFFFFF"/>
              <w:bottom w:val="none" w:sz="0" w:space="0" w:color="FFFFFF"/>
              <w:right w:val="none" w:sz="0" w:space="0" w:color="FFFFFF"/>
            </w:tcBorders>
            <w:shd w:val="clear" w:color="000000" w:fill="E6E6E6"/>
            <w:tcMar>
              <w:top w:w="60" w:type="dxa"/>
              <w:left w:w="80" w:type="dxa"/>
              <w:bottom w:w="60" w:type="dxa"/>
              <w:right w:w="80" w:type="dxa"/>
            </w:tcMar>
          </w:tcPr>
          <w:p w14:paraId="345C27C3" w14:textId="77777777" w:rsidR="00463050" w:rsidRPr="002B2636" w:rsidRDefault="00281872">
            <w:pPr>
              <w:spacing w:after="60"/>
              <w:rPr>
                <w:sz w:val="22"/>
                <w:szCs w:val="22"/>
              </w:rPr>
            </w:pPr>
            <w:r w:rsidRPr="002B2636">
              <w:rPr>
                <w:b/>
                <w:bCs/>
                <w:color w:val="2B5A7C"/>
                <w:sz w:val="22"/>
                <w:szCs w:val="22"/>
              </w:rPr>
              <w:t>Rapid Tier</w:t>
            </w:r>
          </w:p>
          <w:p w14:paraId="4E6E20E8" w14:textId="77777777" w:rsidR="00463050" w:rsidRPr="002B2636" w:rsidRDefault="00281872">
            <w:pPr>
              <w:spacing w:before="30" w:after="30"/>
              <w:rPr>
                <w:sz w:val="22"/>
                <w:szCs w:val="22"/>
              </w:rPr>
            </w:pPr>
            <w:r w:rsidRPr="002B2636">
              <w:rPr>
                <w:b/>
                <w:bCs/>
                <w:sz w:val="22"/>
                <w:szCs w:val="22"/>
              </w:rPr>
              <w:t xml:space="preserve">Goal: </w:t>
            </w:r>
            <w:r w:rsidRPr="002B2636">
              <w:rPr>
                <w:sz w:val="22"/>
                <w:szCs w:val="22"/>
              </w:rPr>
              <w:t>Refines understanding of site conditions. Field evidence supports planning decisions and alternatives comparison.</w:t>
            </w:r>
          </w:p>
          <w:p w14:paraId="71F13F8B" w14:textId="77777777" w:rsidR="00463050" w:rsidRPr="002B2636" w:rsidRDefault="00281872">
            <w:pPr>
              <w:spacing w:before="30" w:after="30"/>
              <w:rPr>
                <w:sz w:val="22"/>
                <w:szCs w:val="22"/>
              </w:rPr>
            </w:pPr>
            <w:r w:rsidRPr="002B2636">
              <w:rPr>
                <w:b/>
                <w:bCs/>
                <w:sz w:val="22"/>
                <w:szCs w:val="22"/>
              </w:rPr>
              <w:t xml:space="preserve">Data sources: </w:t>
            </w:r>
            <w:r w:rsidRPr="002B2636">
              <w:rPr>
                <w:sz w:val="22"/>
                <w:szCs w:val="22"/>
              </w:rPr>
              <w:t>Focused field observations, many site photos, limited modeling or lab data, desktop GIS, existing data.</w:t>
            </w:r>
          </w:p>
          <w:p w14:paraId="4F1F9A7A" w14:textId="77777777" w:rsidR="00463050" w:rsidRPr="002B2636" w:rsidRDefault="00281872">
            <w:pPr>
              <w:spacing w:before="30" w:after="30"/>
              <w:rPr>
                <w:sz w:val="22"/>
                <w:szCs w:val="22"/>
              </w:rPr>
            </w:pPr>
            <w:r w:rsidRPr="002B2636">
              <w:rPr>
                <w:b/>
                <w:bCs/>
                <w:sz w:val="22"/>
                <w:szCs w:val="22"/>
              </w:rPr>
              <w:t xml:space="preserve">Effort: </w:t>
            </w:r>
            <w:r w:rsidRPr="002B2636">
              <w:rPr>
                <w:sz w:val="22"/>
                <w:szCs w:val="22"/>
              </w:rPr>
              <w:t>Hours to days.</w:t>
            </w:r>
          </w:p>
          <w:p w14:paraId="0A761237" w14:textId="77777777" w:rsidR="00463050" w:rsidRPr="002B2636" w:rsidRDefault="00281872">
            <w:pPr>
              <w:spacing w:before="30" w:after="30"/>
              <w:rPr>
                <w:sz w:val="22"/>
                <w:szCs w:val="22"/>
              </w:rPr>
            </w:pPr>
            <w:r w:rsidRPr="002B2636">
              <w:rPr>
                <w:b/>
                <w:bCs/>
                <w:sz w:val="22"/>
                <w:szCs w:val="22"/>
              </w:rPr>
              <w:t xml:space="preserve">Uses: </w:t>
            </w:r>
            <w:r w:rsidRPr="002B2636">
              <w:rPr>
                <w:sz w:val="22"/>
                <w:szCs w:val="22"/>
              </w:rPr>
              <w:t>Design, comparing alternatives.</w:t>
            </w:r>
          </w:p>
        </w:tc>
        <w:tc>
          <w:tcPr>
            <w:tcW w:w="1650" w:type="pct"/>
            <w:tcBorders>
              <w:top w:val="none" w:sz="0" w:space="0" w:color="FFFFFF"/>
              <w:left w:val="none" w:sz="0" w:space="0" w:color="FFFFFF"/>
              <w:bottom w:val="none" w:sz="0" w:space="0" w:color="FFFFFF"/>
              <w:right w:val="none" w:sz="0" w:space="0" w:color="FFFFFF"/>
            </w:tcBorders>
            <w:shd w:val="clear" w:color="000000" w:fill="D0D0D0"/>
            <w:tcMar>
              <w:top w:w="60" w:type="dxa"/>
              <w:left w:w="80" w:type="dxa"/>
              <w:bottom w:w="60" w:type="dxa"/>
              <w:right w:w="80" w:type="dxa"/>
            </w:tcMar>
          </w:tcPr>
          <w:p w14:paraId="6EA57DED" w14:textId="77777777" w:rsidR="00463050" w:rsidRPr="002B2636" w:rsidRDefault="00281872">
            <w:pPr>
              <w:spacing w:after="60"/>
              <w:rPr>
                <w:sz w:val="22"/>
                <w:szCs w:val="22"/>
              </w:rPr>
            </w:pPr>
            <w:r w:rsidRPr="002B2636">
              <w:rPr>
                <w:b/>
                <w:bCs/>
                <w:color w:val="2B5A7C"/>
                <w:sz w:val="22"/>
                <w:szCs w:val="22"/>
              </w:rPr>
              <w:t>Detailed Tier</w:t>
            </w:r>
          </w:p>
          <w:p w14:paraId="5DDCE4E8" w14:textId="02E22EFE" w:rsidR="00463050" w:rsidRPr="002B2636" w:rsidRDefault="00281872">
            <w:pPr>
              <w:spacing w:before="30" w:after="30"/>
              <w:rPr>
                <w:sz w:val="22"/>
                <w:szCs w:val="22"/>
              </w:rPr>
            </w:pPr>
            <w:r w:rsidRPr="002B2636">
              <w:rPr>
                <w:b/>
                <w:bCs/>
                <w:sz w:val="22"/>
                <w:szCs w:val="22"/>
              </w:rPr>
              <w:t xml:space="preserve">Goal: </w:t>
            </w:r>
            <w:r w:rsidRPr="002B2636">
              <w:rPr>
                <w:sz w:val="22"/>
                <w:szCs w:val="22"/>
              </w:rPr>
              <w:t>Provides high confidence, site-specific data to support final design decisions and performance.</w:t>
            </w:r>
          </w:p>
          <w:p w14:paraId="7E468333" w14:textId="77777777" w:rsidR="00463050" w:rsidRPr="002B2636" w:rsidRDefault="00281872">
            <w:pPr>
              <w:spacing w:before="30" w:after="30"/>
              <w:rPr>
                <w:sz w:val="22"/>
                <w:szCs w:val="22"/>
              </w:rPr>
            </w:pPr>
            <w:r w:rsidRPr="002B2636">
              <w:rPr>
                <w:b/>
                <w:bCs/>
                <w:sz w:val="22"/>
                <w:szCs w:val="22"/>
              </w:rPr>
              <w:t xml:space="preserve">Data sources: </w:t>
            </w:r>
            <w:r w:rsidRPr="002B2636">
              <w:rPr>
                <w:sz w:val="22"/>
                <w:szCs w:val="22"/>
              </w:rPr>
              <w:t>Intensive field data collection, extensive modeling or laboratory analysis, site photos, desktop GIS, existing data.</w:t>
            </w:r>
          </w:p>
          <w:p w14:paraId="72244372" w14:textId="77777777" w:rsidR="00463050" w:rsidRPr="002B2636" w:rsidRDefault="00281872">
            <w:pPr>
              <w:spacing w:before="30" w:after="30"/>
              <w:rPr>
                <w:sz w:val="22"/>
                <w:szCs w:val="22"/>
              </w:rPr>
            </w:pPr>
            <w:r w:rsidRPr="002B2636">
              <w:rPr>
                <w:b/>
                <w:bCs/>
                <w:sz w:val="22"/>
                <w:szCs w:val="22"/>
              </w:rPr>
              <w:t xml:space="preserve">Effort: </w:t>
            </w:r>
            <w:r w:rsidRPr="002B2636">
              <w:rPr>
                <w:sz w:val="22"/>
                <w:szCs w:val="22"/>
              </w:rPr>
              <w:t>Days to weeks.</w:t>
            </w:r>
          </w:p>
          <w:p w14:paraId="743C596F" w14:textId="77777777" w:rsidR="00463050" w:rsidRPr="002B2636" w:rsidRDefault="00281872">
            <w:pPr>
              <w:spacing w:before="30" w:after="30"/>
              <w:rPr>
                <w:sz w:val="22"/>
                <w:szCs w:val="22"/>
              </w:rPr>
            </w:pPr>
            <w:r w:rsidRPr="002B2636">
              <w:rPr>
                <w:b/>
                <w:bCs/>
                <w:sz w:val="22"/>
                <w:szCs w:val="22"/>
              </w:rPr>
              <w:t xml:space="preserve">Uses: </w:t>
            </w:r>
            <w:r w:rsidRPr="002B2636">
              <w:rPr>
                <w:sz w:val="22"/>
                <w:szCs w:val="22"/>
              </w:rPr>
              <w:t>Final design, post-construction monitoring, regional studies.</w:t>
            </w:r>
          </w:p>
        </w:tc>
      </w:tr>
    </w:tbl>
    <w:p w14:paraId="0EF176DE" w14:textId="77777777" w:rsidR="00463050" w:rsidRDefault="00281872">
      <w:pPr>
        <w:spacing w:before="80" w:after="80"/>
        <w:jc w:val="center"/>
      </w:pPr>
      <w:proofErr w:type="gramStart"/>
      <w:r>
        <w:rPr>
          <w:i/>
          <w:iCs/>
          <w:sz w:val="18"/>
          <w:szCs w:val="18"/>
        </w:rPr>
        <w:t>Lower  ←</w:t>
      </w:r>
      <w:proofErr w:type="gramEnd"/>
      <w:r>
        <w:rPr>
          <w:i/>
          <w:iCs/>
          <w:sz w:val="18"/>
          <w:szCs w:val="18"/>
        </w:rPr>
        <w:t>――――――――――― Effort, data needs, confidence ―――――――――――</w:t>
      </w:r>
      <w:proofErr w:type="gramStart"/>
      <w:r>
        <w:rPr>
          <w:i/>
          <w:iCs/>
          <w:sz w:val="18"/>
          <w:szCs w:val="18"/>
        </w:rPr>
        <w:t>→  Higher</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50"/>
      </w:tblGrid>
      <w:tr w:rsidR="00463050" w14:paraId="58D7E952" w14:textId="77777777">
        <w:tc>
          <w:tcPr>
            <w:tcW w:w="10656" w:type="dxa"/>
            <w:tcBorders>
              <w:top w:val="single" w:sz="1" w:space="0" w:color="2B5A7C"/>
              <w:left w:val="single" w:sz="4" w:space="0" w:color="2B5A7C"/>
              <w:bottom w:val="single" w:sz="1" w:space="0" w:color="2B5A7C"/>
              <w:right w:val="single" w:sz="1" w:space="0" w:color="2B5A7C"/>
            </w:tcBorders>
            <w:shd w:val="clear" w:color="000000" w:fill="F5F8FA"/>
            <w:tcMar>
              <w:top w:w="60" w:type="dxa"/>
              <w:left w:w="100" w:type="dxa"/>
              <w:bottom w:w="60" w:type="dxa"/>
              <w:right w:w="100" w:type="dxa"/>
            </w:tcMar>
          </w:tcPr>
          <w:p w14:paraId="6069E08A" w14:textId="77777777" w:rsidR="00463050" w:rsidRDefault="00281872">
            <w:pPr>
              <w:spacing w:before="60" w:after="60"/>
            </w:pPr>
            <w:r w:rsidRPr="002B2636">
              <w:rPr>
                <w:b/>
                <w:bCs/>
                <w:sz w:val="22"/>
                <w:szCs w:val="22"/>
              </w:rPr>
              <w:t xml:space="preserve">Common foundation: </w:t>
            </w:r>
            <w:r w:rsidRPr="002B2636">
              <w:rPr>
                <w:sz w:val="22"/>
                <w:szCs w:val="22"/>
              </w:rPr>
              <w:t>Stream functions are consistent across all tiers. The functions are comprehensive and broadly applicable to a wide range of streams.</w:t>
            </w:r>
          </w:p>
        </w:tc>
      </w:tr>
      <w:tr w:rsidR="00463050" w14:paraId="701BD92C" w14:textId="77777777">
        <w:tc>
          <w:tcPr>
            <w:tcW w:w="10656" w:type="dxa"/>
            <w:tcBorders>
              <w:top w:val="single" w:sz="1" w:space="0" w:color="2B5A7C"/>
              <w:left w:val="single" w:sz="4" w:space="0" w:color="2B5A7C"/>
              <w:bottom w:val="single" w:sz="1" w:space="0" w:color="2B5A7C"/>
              <w:right w:val="single" w:sz="1" w:space="0" w:color="2B5A7C"/>
            </w:tcBorders>
            <w:shd w:val="clear" w:color="000000" w:fill="F5F8FA"/>
            <w:tcMar>
              <w:top w:w="60" w:type="dxa"/>
              <w:left w:w="100" w:type="dxa"/>
              <w:bottom w:w="60" w:type="dxa"/>
              <w:right w:w="100" w:type="dxa"/>
            </w:tcMar>
          </w:tcPr>
          <w:p w14:paraId="6E1ECACC" w14:textId="77777777" w:rsidR="00463050" w:rsidRPr="002B2636" w:rsidRDefault="00281872">
            <w:pPr>
              <w:spacing w:after="60"/>
              <w:rPr>
                <w:sz w:val="22"/>
                <w:szCs w:val="22"/>
              </w:rPr>
            </w:pPr>
            <w:r w:rsidRPr="002B2636">
              <w:rPr>
                <w:b/>
                <w:bCs/>
                <w:sz w:val="22"/>
                <w:szCs w:val="22"/>
              </w:rPr>
              <w:t>Comparable results: Outcomes and Ecosystem Condition</w:t>
            </w:r>
          </w:p>
          <w:p w14:paraId="2E56F669" w14:textId="77777777" w:rsidR="00463050" w:rsidRPr="002B2636" w:rsidRDefault="00281872">
            <w:pPr>
              <w:spacing w:before="20" w:after="60"/>
              <w:rPr>
                <w:sz w:val="22"/>
                <w:szCs w:val="22"/>
              </w:rPr>
            </w:pPr>
            <w:r w:rsidRPr="002B2636">
              <w:rPr>
                <w:b/>
                <w:bCs/>
                <w:sz w:val="22"/>
                <w:szCs w:val="22"/>
              </w:rPr>
              <w:t>Outcomes</w:t>
            </w:r>
            <w:r w:rsidRPr="002B2636">
              <w:rPr>
                <w:sz w:val="22"/>
                <w:szCs w:val="22"/>
              </w:rPr>
              <w:t xml:space="preserve"> are observable or quantifiable results that are linked to how one or more stream functions operate.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3400"/>
              <w:gridCol w:w="3400"/>
            </w:tblGrid>
            <w:tr w:rsidR="00463050" w14:paraId="1BC798B4" w14:textId="77777777">
              <w:tc>
                <w:tcPr>
                  <w:tcW w:w="3400" w:type="dxa"/>
                  <w:tcBorders>
                    <w:top w:val="single" w:sz="6" w:space="0" w:color="4A90A4"/>
                    <w:left w:val="single" w:sz="1" w:space="0" w:color="CCCCCC"/>
                    <w:bottom w:val="single" w:sz="1" w:space="0" w:color="CCCCCC"/>
                    <w:right w:val="single" w:sz="1" w:space="0" w:color="CCCCCC"/>
                  </w:tcBorders>
                  <w:shd w:val="clear" w:color="000000" w:fill="FAFAFA"/>
                  <w:tcMar>
                    <w:top w:w="50" w:type="dxa"/>
                    <w:left w:w="60" w:type="dxa"/>
                    <w:bottom w:w="50" w:type="dxa"/>
                    <w:right w:w="60" w:type="dxa"/>
                  </w:tcMar>
                </w:tcPr>
                <w:p w14:paraId="5937EF30" w14:textId="77777777" w:rsidR="00463050" w:rsidRPr="00281872" w:rsidRDefault="00281872">
                  <w:pPr>
                    <w:spacing w:after="40"/>
                    <w:rPr>
                      <w:sz w:val="22"/>
                      <w:szCs w:val="22"/>
                    </w:rPr>
                  </w:pPr>
                  <w:r w:rsidRPr="00281872">
                    <w:rPr>
                      <w:b/>
                      <w:bCs/>
                      <w:color w:val="4A90A4"/>
                      <w:sz w:val="22"/>
                      <w:szCs w:val="22"/>
                    </w:rPr>
                    <w:t>Physical Outcomes</w:t>
                  </w:r>
                </w:p>
                <w:p w14:paraId="51DFE47F" w14:textId="6935E5FD" w:rsidR="00463050" w:rsidRPr="00281872" w:rsidRDefault="00281872">
                  <w:pPr>
                    <w:spacing w:before="20" w:after="30"/>
                    <w:rPr>
                      <w:sz w:val="22"/>
                      <w:szCs w:val="22"/>
                    </w:rPr>
                  </w:pPr>
                  <w:r w:rsidRPr="00281872">
                    <w:rPr>
                      <w:sz w:val="22"/>
                      <w:szCs w:val="22"/>
                    </w:rPr>
                    <w:t xml:space="preserve">Physical outcomes are measurable results of hydrologic, hydraulic, geomorphic, and habitat-forming processes. They describe the </w:t>
                  </w:r>
                  <w:r>
                    <w:rPr>
                      <w:sz w:val="22"/>
                      <w:szCs w:val="22"/>
                    </w:rPr>
                    <w:t>structure</w:t>
                  </w:r>
                  <w:r w:rsidRPr="00281872">
                    <w:rPr>
                      <w:sz w:val="22"/>
                      <w:szCs w:val="22"/>
                    </w:rPr>
                    <w:t xml:space="preserve"> and how water and sediment move through the system.</w:t>
                  </w:r>
                </w:p>
                <w:p w14:paraId="154DB0BC" w14:textId="4A54087E" w:rsidR="00463050" w:rsidRPr="002B2636" w:rsidRDefault="00281872">
                  <w:pPr>
                    <w:spacing w:before="20" w:after="20"/>
                  </w:pPr>
                  <w:r w:rsidRPr="00281872">
                    <w:rPr>
                      <w:b/>
                      <w:bCs/>
                      <w:sz w:val="22"/>
                      <w:szCs w:val="22"/>
                    </w:rPr>
                    <w:t xml:space="preserve">Examples: </w:t>
                  </w:r>
                  <w:r w:rsidRPr="00281872">
                    <w:rPr>
                      <w:sz w:val="22"/>
                      <w:szCs w:val="22"/>
                    </w:rPr>
                    <w:t>floodplain inundation frequency, channel stability, sediment transport balance, habitat unit distribution, substrate composition, and wood abundance.</w:t>
                  </w:r>
                </w:p>
              </w:tc>
              <w:tc>
                <w:tcPr>
                  <w:tcW w:w="3400" w:type="dxa"/>
                  <w:tcBorders>
                    <w:top w:val="single" w:sz="6" w:space="0" w:color="6B8E23"/>
                    <w:left w:val="single" w:sz="1" w:space="0" w:color="CCCCCC"/>
                    <w:bottom w:val="single" w:sz="1" w:space="0" w:color="CCCCCC"/>
                    <w:right w:val="single" w:sz="1" w:space="0" w:color="CCCCCC"/>
                  </w:tcBorders>
                  <w:shd w:val="clear" w:color="000000" w:fill="FAFAFA"/>
                  <w:tcMar>
                    <w:top w:w="50" w:type="dxa"/>
                    <w:left w:w="60" w:type="dxa"/>
                    <w:bottom w:w="50" w:type="dxa"/>
                    <w:right w:w="60" w:type="dxa"/>
                  </w:tcMar>
                </w:tcPr>
                <w:p w14:paraId="6081D28B" w14:textId="77777777" w:rsidR="00463050" w:rsidRPr="00281872" w:rsidRDefault="00281872">
                  <w:pPr>
                    <w:spacing w:after="40"/>
                    <w:rPr>
                      <w:sz w:val="22"/>
                      <w:szCs w:val="22"/>
                    </w:rPr>
                  </w:pPr>
                  <w:r w:rsidRPr="00281872">
                    <w:rPr>
                      <w:b/>
                      <w:bCs/>
                      <w:color w:val="6B8E23"/>
                      <w:sz w:val="22"/>
                      <w:szCs w:val="22"/>
                    </w:rPr>
                    <w:t>Chemical Outcomes</w:t>
                  </w:r>
                </w:p>
                <w:p w14:paraId="6F770BD0" w14:textId="77777777" w:rsidR="00463050" w:rsidRPr="00281872" w:rsidRDefault="00281872">
                  <w:pPr>
                    <w:spacing w:before="20" w:after="30"/>
                    <w:rPr>
                      <w:sz w:val="22"/>
                      <w:szCs w:val="22"/>
                    </w:rPr>
                  </w:pPr>
                  <w:r w:rsidRPr="00281872">
                    <w:rPr>
                      <w:sz w:val="22"/>
                      <w:szCs w:val="22"/>
                    </w:rPr>
                    <w:t>Chemical outcomes are measurable results of water chemistry and biogeochemical processes. They describe how chemical conditions support or limit aquatic life and ecosystem processes.</w:t>
                  </w:r>
                </w:p>
                <w:p w14:paraId="450D2B4A" w14:textId="77777777" w:rsidR="00463050" w:rsidRPr="00281872" w:rsidRDefault="00281872">
                  <w:pPr>
                    <w:spacing w:before="20" w:after="20"/>
                    <w:rPr>
                      <w:sz w:val="22"/>
                      <w:szCs w:val="22"/>
                    </w:rPr>
                  </w:pPr>
                  <w:r w:rsidRPr="00281872">
                    <w:rPr>
                      <w:b/>
                      <w:bCs/>
                      <w:sz w:val="22"/>
                      <w:szCs w:val="22"/>
                    </w:rPr>
                    <w:t xml:space="preserve">Examples: </w:t>
                  </w:r>
                  <w:r w:rsidRPr="00281872">
                    <w:rPr>
                      <w:sz w:val="22"/>
                      <w:szCs w:val="22"/>
                    </w:rPr>
                    <w:t>dissolved oxygen, nutrient concentrations, temperature regime, pH, contaminant levels, and organic matter decomposition rates.</w:t>
                  </w:r>
                </w:p>
              </w:tc>
              <w:tc>
                <w:tcPr>
                  <w:tcW w:w="3400" w:type="dxa"/>
                  <w:tcBorders>
                    <w:top w:val="single" w:sz="6" w:space="0" w:color="B8860B"/>
                    <w:left w:val="single" w:sz="1" w:space="0" w:color="CCCCCC"/>
                    <w:bottom w:val="single" w:sz="1" w:space="0" w:color="CCCCCC"/>
                    <w:right w:val="single" w:sz="1" w:space="0" w:color="CCCCCC"/>
                  </w:tcBorders>
                  <w:shd w:val="clear" w:color="000000" w:fill="FAFAFA"/>
                  <w:tcMar>
                    <w:top w:w="50" w:type="dxa"/>
                    <w:left w:w="60" w:type="dxa"/>
                    <w:bottom w:w="50" w:type="dxa"/>
                    <w:right w:w="60" w:type="dxa"/>
                  </w:tcMar>
                </w:tcPr>
                <w:p w14:paraId="2542921F" w14:textId="77777777" w:rsidR="00463050" w:rsidRPr="00281872" w:rsidRDefault="00281872">
                  <w:pPr>
                    <w:spacing w:after="40"/>
                    <w:rPr>
                      <w:sz w:val="22"/>
                      <w:szCs w:val="22"/>
                    </w:rPr>
                  </w:pPr>
                  <w:r w:rsidRPr="00281872">
                    <w:rPr>
                      <w:b/>
                      <w:bCs/>
                      <w:color w:val="B8860B"/>
                      <w:sz w:val="22"/>
                      <w:szCs w:val="22"/>
                    </w:rPr>
                    <w:t>Biological Outcomes</w:t>
                  </w:r>
                </w:p>
                <w:p w14:paraId="05EC79BF" w14:textId="77777777" w:rsidR="00463050" w:rsidRPr="00281872" w:rsidRDefault="00281872">
                  <w:pPr>
                    <w:spacing w:before="20" w:after="30"/>
                    <w:rPr>
                      <w:sz w:val="22"/>
                      <w:szCs w:val="22"/>
                    </w:rPr>
                  </w:pPr>
                  <w:r w:rsidRPr="00281872">
                    <w:rPr>
                      <w:sz w:val="22"/>
                      <w:szCs w:val="22"/>
                    </w:rPr>
                    <w:t>Biological outcomes are measurable characteristics of aquatic and riparian communities. They describe the presence, abundance, diversity, and functional roles of organisms in the system.</w:t>
                  </w:r>
                </w:p>
                <w:p w14:paraId="5C0736A1" w14:textId="77777777" w:rsidR="00463050" w:rsidRPr="002B2636" w:rsidRDefault="00281872">
                  <w:pPr>
                    <w:spacing w:before="20" w:after="20"/>
                  </w:pPr>
                  <w:r w:rsidRPr="00281872">
                    <w:rPr>
                      <w:b/>
                      <w:bCs/>
                      <w:sz w:val="22"/>
                      <w:szCs w:val="22"/>
                    </w:rPr>
                    <w:t xml:space="preserve">Examples: </w:t>
                  </w:r>
                  <w:r w:rsidRPr="00281872">
                    <w:rPr>
                      <w:sz w:val="22"/>
                      <w:szCs w:val="22"/>
                    </w:rPr>
                    <w:t>fish assemblage composition, macroinvertebrate diversity, species richness, presence of sensitive taxa, and functional feeding group distribution</w:t>
                  </w:r>
                  <w:r w:rsidRPr="002B2636">
                    <w:t>.</w:t>
                  </w:r>
                </w:p>
              </w:tc>
            </w:tr>
            <w:tr w:rsidR="00463050" w14:paraId="5DCE6641" w14:textId="77777777">
              <w:tc>
                <w:tcPr>
                  <w:tcW w:w="10200" w:type="dxa"/>
                  <w:gridSpan w:val="3"/>
                  <w:tcBorders>
                    <w:top w:val="single" w:sz="6" w:space="0" w:color="2B5A7C"/>
                    <w:left w:val="single" w:sz="1" w:space="0" w:color="CCCCCC"/>
                    <w:bottom w:val="single" w:sz="1" w:space="0" w:color="CCCCCC"/>
                    <w:right w:val="single" w:sz="1" w:space="0" w:color="CCCCCC"/>
                  </w:tcBorders>
                  <w:shd w:val="clear" w:color="000000" w:fill="FAFAFA"/>
                  <w:tcMar>
                    <w:top w:w="50" w:type="dxa"/>
                    <w:left w:w="60" w:type="dxa"/>
                    <w:bottom w:w="50" w:type="dxa"/>
                    <w:right w:w="60" w:type="dxa"/>
                  </w:tcMar>
                </w:tcPr>
                <w:p w14:paraId="5339FF8A" w14:textId="77777777" w:rsidR="00463050" w:rsidRDefault="00281872">
                  <w:pPr>
                    <w:spacing w:after="40"/>
                  </w:pPr>
                  <w:r>
                    <w:rPr>
                      <w:b/>
                      <w:bCs/>
                      <w:color w:val="2B5A7C"/>
                      <w:sz w:val="18"/>
                      <w:szCs w:val="18"/>
                    </w:rPr>
                    <w:t>Ecosystem Condition</w:t>
                  </w:r>
                </w:p>
                <w:p w14:paraId="730D3C47" w14:textId="77777777" w:rsidR="00463050" w:rsidRDefault="00281872">
                  <w:pPr>
                    <w:spacing w:before="20" w:after="20"/>
                  </w:pPr>
                  <w:r w:rsidRPr="002B2636">
                    <w:rPr>
                      <w:sz w:val="22"/>
                      <w:szCs w:val="22"/>
                    </w:rPr>
                    <w:lastRenderedPageBreak/>
                    <w:t>The overall state of a stream system, based on the combined performance of physical, chemical, and biological outcomes relative to expected or reference conditions. It indicates how well the system sustains ecological function and resilience over time.</w:t>
                  </w:r>
                </w:p>
              </w:tc>
            </w:tr>
          </w:tbl>
          <w:p w14:paraId="5235AC32" w14:textId="77777777" w:rsidR="00463050" w:rsidRDefault="00463050"/>
        </w:tc>
      </w:tr>
    </w:tbl>
    <w:p w14:paraId="7767531C" w14:textId="77777777" w:rsidR="00463050" w:rsidRDefault="00463050">
      <w:pPr>
        <w:sectPr w:rsidR="00463050">
          <w:pgSz w:w="12240" w:h="15840"/>
          <w:pgMar w:top="504" w:right="792" w:bottom="504" w:left="792" w:header="708" w:footer="708"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56"/>
      </w:tblGrid>
      <w:tr w:rsidR="00463050" w14:paraId="299C20BD" w14:textId="77777777">
        <w:tc>
          <w:tcPr>
            <w:tcW w:w="5000" w:type="pct"/>
            <w:tcBorders>
              <w:top w:val="none" w:sz="0" w:space="0" w:color="FFFFFF"/>
              <w:left w:val="none" w:sz="0" w:space="0" w:color="FFFFFF"/>
              <w:bottom w:val="none" w:sz="0" w:space="0" w:color="FFFFFF"/>
              <w:right w:val="none" w:sz="0" w:space="0" w:color="FFFFFF"/>
            </w:tcBorders>
            <w:shd w:val="clear" w:color="FFFFFF" w:fill="2B5A7C"/>
          </w:tcPr>
          <w:p w14:paraId="51EC4930" w14:textId="77777777" w:rsidR="00463050" w:rsidRDefault="00281872">
            <w:pPr>
              <w:spacing w:before="120"/>
              <w:jc w:val="center"/>
            </w:pPr>
            <w:r>
              <w:rPr>
                <w:b/>
                <w:bCs/>
                <w:color w:val="FFFFFF"/>
                <w:sz w:val="32"/>
                <w:szCs w:val="32"/>
              </w:rPr>
              <w:lastRenderedPageBreak/>
              <w:t>Stream Tiered Assessment Framework (STAF)</w:t>
            </w:r>
          </w:p>
          <w:p w14:paraId="70C0A58E" w14:textId="77777777" w:rsidR="00463050" w:rsidRDefault="00281872">
            <w:pPr>
              <w:spacing w:before="40" w:after="120"/>
              <w:jc w:val="center"/>
            </w:pPr>
            <w:r>
              <w:rPr>
                <w:i/>
                <w:iCs/>
                <w:color w:val="FFFFFF"/>
                <w:sz w:val="22"/>
                <w:szCs w:val="22"/>
              </w:rPr>
              <w:t>Purpose, Functions, Scoring, and Uses</w:t>
            </w:r>
          </w:p>
        </w:tc>
      </w:tr>
    </w:tbl>
    <w:p w14:paraId="65A0B8B7" w14:textId="77777777" w:rsidR="00463050" w:rsidRDefault="00463050"/>
    <w:tbl>
      <w:tblPr>
        <w:tblW w:w="5004"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
        <w:gridCol w:w="5319"/>
        <w:gridCol w:w="5328"/>
      </w:tblGrid>
      <w:tr w:rsidR="00463050" w14:paraId="27122035" w14:textId="77777777" w:rsidTr="002B2636">
        <w:trPr>
          <w:gridBefore w:val="1"/>
          <w:wBefore w:w="4" w:type="pct"/>
        </w:trPr>
        <w:tc>
          <w:tcPr>
            <w:tcW w:w="4996" w:type="pct"/>
            <w:gridSpan w:val="2"/>
            <w:tcBorders>
              <w:top w:val="single" w:sz="1" w:space="0" w:color="CCCCCC"/>
              <w:left w:val="single" w:sz="6" w:space="0" w:color="2B5A7C"/>
              <w:bottom w:val="single" w:sz="1" w:space="0" w:color="CCCCCC"/>
              <w:right w:val="single" w:sz="1" w:space="0" w:color="CCCCCC"/>
            </w:tcBorders>
            <w:shd w:val="clear" w:color="000000" w:fill="F5F8FA"/>
            <w:tcMar>
              <w:top w:w="80" w:type="dxa"/>
              <w:left w:w="120" w:type="dxa"/>
              <w:bottom w:w="80" w:type="dxa"/>
              <w:right w:w="120" w:type="dxa"/>
            </w:tcMar>
          </w:tcPr>
          <w:p w14:paraId="61DB3E50" w14:textId="77777777" w:rsidR="00463050" w:rsidRPr="002B2636" w:rsidRDefault="00281872">
            <w:pPr>
              <w:spacing w:after="60"/>
            </w:pPr>
            <w:r w:rsidRPr="002B2636">
              <w:rPr>
                <w:b/>
                <w:bCs/>
                <w:color w:val="2B5A7C"/>
                <w:sz w:val="24"/>
                <w:szCs w:val="24"/>
              </w:rPr>
              <w:t>Purpose and Objectives</w:t>
            </w:r>
          </w:p>
          <w:p w14:paraId="32F26A3D" w14:textId="77777777" w:rsidR="00463050" w:rsidRPr="002B2636" w:rsidRDefault="00281872">
            <w:pPr>
              <w:spacing w:before="60" w:after="60"/>
              <w:rPr>
                <w:sz w:val="22"/>
                <w:szCs w:val="22"/>
              </w:rPr>
            </w:pPr>
            <w:r w:rsidRPr="002B2636">
              <w:rPr>
                <w:sz w:val="22"/>
                <w:szCs w:val="22"/>
              </w:rPr>
              <w:t>STAF provides a nested toolkit of stream assessment methods that align with project planning needs at varying levels of effort. The framework provides a common, transferable structure for stream assessment that can be applied at multiple scales and tailored to local needs.</w:t>
            </w:r>
          </w:p>
          <w:p w14:paraId="18E28493" w14:textId="77777777" w:rsidR="00463050" w:rsidRPr="002B2636" w:rsidRDefault="00281872">
            <w:pPr>
              <w:pStyle w:val="ListParagraph"/>
              <w:numPr>
                <w:ilvl w:val="0"/>
                <w:numId w:val="1"/>
              </w:numPr>
              <w:spacing w:before="40" w:after="40"/>
              <w:rPr>
                <w:sz w:val="22"/>
                <w:szCs w:val="22"/>
              </w:rPr>
            </w:pPr>
            <w:r w:rsidRPr="002B2636">
              <w:rPr>
                <w:sz w:val="22"/>
                <w:szCs w:val="22"/>
              </w:rPr>
              <w:t>Develop a common and transferable structure for stream assessment, applicable at multiple scales and tailored to local needs.</w:t>
            </w:r>
          </w:p>
          <w:p w14:paraId="4504A9C8" w14:textId="77777777" w:rsidR="00463050" w:rsidRPr="002B2636" w:rsidRDefault="00281872">
            <w:pPr>
              <w:pStyle w:val="ListParagraph"/>
              <w:numPr>
                <w:ilvl w:val="0"/>
                <w:numId w:val="1"/>
              </w:numPr>
              <w:spacing w:before="40" w:after="40"/>
              <w:rPr>
                <w:sz w:val="22"/>
                <w:szCs w:val="22"/>
              </w:rPr>
            </w:pPr>
            <w:r w:rsidRPr="002B2636">
              <w:rPr>
                <w:sz w:val="22"/>
                <w:szCs w:val="22"/>
              </w:rPr>
              <w:t>Compile tools for assessing stream outcomes at three scales: screening-level analyses, rapid field assessment, and detailed analyses informed by empirical data collection.</w:t>
            </w:r>
          </w:p>
          <w:p w14:paraId="5EF24834" w14:textId="77777777" w:rsidR="00463050" w:rsidRPr="002B2636" w:rsidRDefault="00281872">
            <w:pPr>
              <w:pStyle w:val="ListParagraph"/>
              <w:numPr>
                <w:ilvl w:val="0"/>
                <w:numId w:val="1"/>
              </w:numPr>
              <w:spacing w:before="40" w:after="40"/>
              <w:rPr>
                <w:sz w:val="22"/>
                <w:szCs w:val="22"/>
              </w:rPr>
            </w:pPr>
            <w:r w:rsidRPr="002B2636">
              <w:rPr>
                <w:sz w:val="22"/>
                <w:szCs w:val="22"/>
              </w:rPr>
              <w:t>Develop select tools to fill gaps in the existing toolbox.</w:t>
            </w:r>
          </w:p>
          <w:p w14:paraId="0FC8D7F9" w14:textId="77777777" w:rsidR="00463050" w:rsidRDefault="00281872">
            <w:pPr>
              <w:pStyle w:val="ListParagraph"/>
              <w:numPr>
                <w:ilvl w:val="0"/>
                <w:numId w:val="1"/>
              </w:numPr>
              <w:spacing w:before="40" w:after="40"/>
            </w:pPr>
            <w:r w:rsidRPr="002B2636">
              <w:rPr>
                <w:sz w:val="22"/>
                <w:szCs w:val="22"/>
              </w:rPr>
              <w:t>Demonstrate application of the multi-scale framework as a go-by for users.</w:t>
            </w:r>
          </w:p>
        </w:tc>
      </w:tr>
      <w:tr w:rsidR="00463050" w14:paraId="7F624EDC" w14:textId="77777777" w:rsidTr="003A144C">
        <w:trPr>
          <w:trHeight w:val="5801"/>
        </w:trPr>
        <w:tc>
          <w:tcPr>
            <w:tcW w:w="2500" w:type="pct"/>
            <w:gridSpan w:val="2"/>
            <w:tcBorders>
              <w:top w:val="none" w:sz="0" w:space="0" w:color="FFFFFF"/>
              <w:left w:val="none" w:sz="0" w:space="0" w:color="FFFFFF"/>
              <w:bottom w:val="none" w:sz="0" w:space="0" w:color="FFFFFF"/>
              <w:right w:val="none" w:sz="0" w:space="0" w:color="FFFFFF"/>
            </w:tcBorders>
            <w:tcMar>
              <w:top w:w="40" w:type="dxa"/>
              <w:left w:w="40" w:type="dxa"/>
              <w:bottom w:w="40" w:type="dxa"/>
              <w:right w:w="100" w:type="dxa"/>
            </w:tcMar>
          </w:tcPr>
          <w:p w14:paraId="75E351AA" w14:textId="77777777" w:rsidR="00463050" w:rsidRDefault="00281872">
            <w:pPr>
              <w:pBdr>
                <w:bottom w:val="single" w:sz="1" w:space="2" w:color="2B5A7C"/>
              </w:pBdr>
              <w:spacing w:before="100" w:after="60"/>
            </w:pPr>
            <w:r>
              <w:rPr>
                <w:b/>
                <w:bCs/>
                <w:color w:val="2B5A7C"/>
                <w:sz w:val="24"/>
                <w:szCs w:val="24"/>
              </w:rPr>
              <w:t>Common Stream Functions</w:t>
            </w:r>
          </w:p>
          <w:p w14:paraId="2CC0E1DE" w14:textId="77777777" w:rsidR="00463050" w:rsidRPr="002B2636" w:rsidRDefault="00281872">
            <w:pPr>
              <w:pStyle w:val="ListParagraph"/>
              <w:numPr>
                <w:ilvl w:val="0"/>
                <w:numId w:val="1"/>
              </w:numPr>
              <w:spacing w:before="30" w:after="30"/>
              <w:rPr>
                <w:sz w:val="24"/>
                <w:szCs w:val="24"/>
              </w:rPr>
            </w:pPr>
            <w:r w:rsidRPr="002B2636">
              <w:rPr>
                <w:sz w:val="22"/>
                <w:szCs w:val="22"/>
              </w:rPr>
              <w:t>All tiers assess the same set of stream functions.</w:t>
            </w:r>
          </w:p>
          <w:p w14:paraId="7EA5C5E8" w14:textId="77777777" w:rsidR="00463050" w:rsidRPr="002B2636" w:rsidRDefault="00281872">
            <w:pPr>
              <w:pStyle w:val="ListParagraph"/>
              <w:numPr>
                <w:ilvl w:val="0"/>
                <w:numId w:val="1"/>
              </w:numPr>
              <w:spacing w:before="30" w:after="30"/>
              <w:rPr>
                <w:sz w:val="24"/>
                <w:szCs w:val="24"/>
              </w:rPr>
            </w:pPr>
            <w:r w:rsidRPr="002B2636">
              <w:rPr>
                <w:sz w:val="22"/>
                <w:szCs w:val="22"/>
              </w:rPr>
              <w:t>The tiers differ in how each function is evaluated and documented.</w:t>
            </w:r>
          </w:p>
          <w:p w14:paraId="38A64154" w14:textId="77777777" w:rsidR="00463050" w:rsidRPr="002B2636" w:rsidRDefault="00281872">
            <w:pPr>
              <w:pStyle w:val="ListParagraph"/>
              <w:numPr>
                <w:ilvl w:val="0"/>
                <w:numId w:val="1"/>
              </w:numPr>
              <w:spacing w:before="30" w:after="30"/>
              <w:rPr>
                <w:sz w:val="24"/>
                <w:szCs w:val="24"/>
              </w:rPr>
            </w:pPr>
            <w:r w:rsidRPr="002B2636">
              <w:rPr>
                <w:sz w:val="22"/>
                <w:szCs w:val="22"/>
              </w:rPr>
              <w:t>This improves consistency across projects and makes it easier to compare results across sites, watersheds, and study phases.</w:t>
            </w:r>
          </w:p>
          <w:p w14:paraId="5D250AA8" w14:textId="77777777" w:rsidR="00463050" w:rsidRDefault="00281872">
            <w:pPr>
              <w:pBdr>
                <w:bottom w:val="single" w:sz="1" w:space="2" w:color="2B5A7C"/>
              </w:pBdr>
              <w:spacing w:before="160" w:after="60"/>
            </w:pPr>
            <w:r>
              <w:rPr>
                <w:b/>
                <w:bCs/>
                <w:color w:val="2B5A7C"/>
                <w:sz w:val="24"/>
                <w:szCs w:val="24"/>
              </w:rPr>
              <w:t>Scoring Approach</w:t>
            </w:r>
          </w:p>
          <w:p w14:paraId="7116B262" w14:textId="77777777" w:rsidR="00463050" w:rsidRPr="002B2636" w:rsidRDefault="00281872">
            <w:pPr>
              <w:pStyle w:val="ListParagraph"/>
              <w:numPr>
                <w:ilvl w:val="0"/>
                <w:numId w:val="1"/>
              </w:numPr>
              <w:spacing w:before="30" w:after="30"/>
              <w:rPr>
                <w:sz w:val="24"/>
                <w:szCs w:val="24"/>
              </w:rPr>
            </w:pPr>
            <w:r w:rsidRPr="002B2636">
              <w:rPr>
                <w:sz w:val="22"/>
                <w:szCs w:val="22"/>
              </w:rPr>
              <w:t>Each stream function is evaluated using tier-appropriate evidence and scored on a 0–15 scale.</w:t>
            </w:r>
          </w:p>
          <w:p w14:paraId="0EC65443" w14:textId="77777777" w:rsidR="00463050" w:rsidRPr="002B2636" w:rsidRDefault="00281872">
            <w:pPr>
              <w:pStyle w:val="ListParagraph"/>
              <w:numPr>
                <w:ilvl w:val="0"/>
                <w:numId w:val="1"/>
              </w:numPr>
              <w:spacing w:before="30" w:after="30"/>
              <w:rPr>
                <w:sz w:val="24"/>
                <w:szCs w:val="24"/>
              </w:rPr>
            </w:pPr>
            <w:r w:rsidRPr="002B2636">
              <w:rPr>
                <w:sz w:val="22"/>
                <w:szCs w:val="22"/>
              </w:rPr>
              <w:t xml:space="preserve">Function scores are grouped into three outcome categories: </w:t>
            </w:r>
            <w:r w:rsidRPr="002B2636">
              <w:rPr>
                <w:b/>
                <w:bCs/>
                <w:sz w:val="22"/>
                <w:szCs w:val="22"/>
              </w:rPr>
              <w:t>physical</w:t>
            </w:r>
            <w:r w:rsidRPr="002B2636">
              <w:rPr>
                <w:sz w:val="22"/>
                <w:szCs w:val="22"/>
              </w:rPr>
              <w:t xml:space="preserve"> (hydrology, hydraulics, geomorphology), </w:t>
            </w:r>
            <w:r w:rsidRPr="002B2636">
              <w:rPr>
                <w:b/>
                <w:bCs/>
                <w:sz w:val="22"/>
                <w:szCs w:val="22"/>
              </w:rPr>
              <w:t>chemical</w:t>
            </w:r>
            <w:r w:rsidRPr="002B2636">
              <w:rPr>
                <w:sz w:val="22"/>
                <w:szCs w:val="22"/>
              </w:rPr>
              <w:t xml:space="preserve"> (water chemistry, biogeochemical processes), and </w:t>
            </w:r>
            <w:r w:rsidRPr="002B2636">
              <w:rPr>
                <w:b/>
                <w:bCs/>
                <w:sz w:val="22"/>
                <w:szCs w:val="22"/>
              </w:rPr>
              <w:t>biological</w:t>
            </w:r>
            <w:r w:rsidRPr="002B2636">
              <w:rPr>
                <w:sz w:val="22"/>
                <w:szCs w:val="22"/>
              </w:rPr>
              <w:t xml:space="preserve"> (aquatic and riparian communities).</w:t>
            </w:r>
          </w:p>
          <w:p w14:paraId="699B4F27" w14:textId="69010CAA" w:rsidR="00463050" w:rsidRPr="002B2636" w:rsidRDefault="00281872">
            <w:pPr>
              <w:pStyle w:val="ListParagraph"/>
              <w:numPr>
                <w:ilvl w:val="0"/>
                <w:numId w:val="1"/>
              </w:numPr>
              <w:spacing w:before="30" w:after="30"/>
              <w:rPr>
                <w:sz w:val="24"/>
                <w:szCs w:val="24"/>
              </w:rPr>
            </w:pPr>
            <w:r w:rsidRPr="002B2636">
              <w:rPr>
                <w:sz w:val="22"/>
                <w:szCs w:val="22"/>
              </w:rPr>
              <w:t xml:space="preserve">Each outcome category produces a normalized sub-index (0–1). The three sub-indices are averaged to </w:t>
            </w:r>
            <w:r w:rsidRPr="002B2636">
              <w:rPr>
                <w:b/>
                <w:bCs/>
                <w:sz w:val="22"/>
                <w:szCs w:val="22"/>
              </w:rPr>
              <w:t>Ecosystem Condition Index</w:t>
            </w:r>
            <w:r w:rsidRPr="002B2636">
              <w:rPr>
                <w:sz w:val="22"/>
                <w:szCs w:val="22"/>
              </w:rPr>
              <w:t>.</w:t>
            </w:r>
          </w:p>
          <w:p w14:paraId="06386995" w14:textId="77777777" w:rsidR="00463050" w:rsidRDefault="00281872">
            <w:pPr>
              <w:pStyle w:val="ListParagraph"/>
              <w:numPr>
                <w:ilvl w:val="0"/>
                <w:numId w:val="1"/>
              </w:numPr>
              <w:spacing w:before="30" w:after="30"/>
            </w:pPr>
            <w:r w:rsidRPr="002B2636">
              <w:rPr>
                <w:sz w:val="22"/>
                <w:szCs w:val="22"/>
              </w:rPr>
              <w:t>This structured rollup supports interpretation, comparison across sites, and decision-making.</w:t>
            </w:r>
          </w:p>
        </w:tc>
        <w:tc>
          <w:tcPr>
            <w:tcW w:w="2500" w:type="pct"/>
            <w:tcBorders>
              <w:top w:val="none" w:sz="0" w:space="0" w:color="FFFFFF"/>
              <w:left w:val="none" w:sz="0" w:space="0" w:color="FFFFFF"/>
              <w:bottom w:val="none" w:sz="0" w:space="0" w:color="FFFFFF"/>
              <w:right w:val="none" w:sz="0" w:space="0" w:color="FFFFFF"/>
            </w:tcBorders>
            <w:tcMar>
              <w:top w:w="40" w:type="dxa"/>
              <w:left w:w="100" w:type="dxa"/>
              <w:bottom w:w="40" w:type="dxa"/>
              <w:right w:w="40" w:type="dxa"/>
            </w:tcMar>
          </w:tcPr>
          <w:p w14:paraId="3D372783" w14:textId="77777777" w:rsidR="00463050" w:rsidRDefault="00281872">
            <w:pPr>
              <w:pBdr>
                <w:bottom w:val="single" w:sz="1" w:space="2" w:color="2B5A7C"/>
              </w:pBdr>
              <w:spacing w:before="100" w:after="60"/>
            </w:pPr>
            <w:r>
              <w:rPr>
                <w:b/>
                <w:bCs/>
                <w:color w:val="2B5A7C"/>
                <w:sz w:val="24"/>
                <w:szCs w:val="24"/>
              </w:rPr>
              <w:t>Typical Uses</w:t>
            </w:r>
          </w:p>
          <w:p w14:paraId="07F390C7" w14:textId="271711EE" w:rsidR="00463050" w:rsidRPr="002B2636" w:rsidRDefault="00281872">
            <w:pPr>
              <w:pStyle w:val="ListParagraph"/>
              <w:numPr>
                <w:ilvl w:val="0"/>
                <w:numId w:val="1"/>
              </w:numPr>
              <w:spacing w:before="30" w:after="30"/>
              <w:rPr>
                <w:sz w:val="24"/>
                <w:szCs w:val="24"/>
              </w:rPr>
            </w:pPr>
            <w:r w:rsidRPr="002B2636">
              <w:rPr>
                <w:b/>
                <w:bCs/>
                <w:sz w:val="22"/>
                <w:szCs w:val="22"/>
              </w:rPr>
              <w:t xml:space="preserve">Ecosystem restoration planning and feasibility studies: </w:t>
            </w:r>
            <w:r w:rsidRPr="002B2636">
              <w:rPr>
                <w:sz w:val="22"/>
                <w:szCs w:val="22"/>
              </w:rPr>
              <w:t>Identify limiting functions, compare reaches, and support alternative</w:t>
            </w:r>
            <w:r w:rsidR="002B2636">
              <w:rPr>
                <w:sz w:val="22"/>
                <w:szCs w:val="22"/>
              </w:rPr>
              <w:t xml:space="preserve"> development</w:t>
            </w:r>
            <w:r w:rsidRPr="002B2636">
              <w:rPr>
                <w:sz w:val="22"/>
                <w:szCs w:val="22"/>
              </w:rPr>
              <w:t>.</w:t>
            </w:r>
          </w:p>
          <w:p w14:paraId="2605E103" w14:textId="77777777" w:rsidR="00463050" w:rsidRPr="002B2636" w:rsidRDefault="00281872">
            <w:pPr>
              <w:pStyle w:val="ListParagraph"/>
              <w:numPr>
                <w:ilvl w:val="0"/>
                <w:numId w:val="1"/>
              </w:numPr>
              <w:spacing w:before="30" w:after="30"/>
              <w:rPr>
                <w:sz w:val="24"/>
                <w:szCs w:val="24"/>
              </w:rPr>
            </w:pPr>
            <w:r w:rsidRPr="002B2636">
              <w:rPr>
                <w:b/>
                <w:bCs/>
                <w:sz w:val="22"/>
                <w:szCs w:val="22"/>
              </w:rPr>
              <w:t xml:space="preserve">Project prioritization: </w:t>
            </w:r>
            <w:r w:rsidRPr="002B2636">
              <w:rPr>
                <w:sz w:val="22"/>
                <w:szCs w:val="22"/>
              </w:rPr>
              <w:t>Screening and Rapid tiers support ranking and selection across multiple candidate sites.</w:t>
            </w:r>
          </w:p>
          <w:p w14:paraId="4A95E4D7" w14:textId="77777777" w:rsidR="00463050" w:rsidRPr="002B2636" w:rsidRDefault="00281872">
            <w:pPr>
              <w:pStyle w:val="ListParagraph"/>
              <w:numPr>
                <w:ilvl w:val="0"/>
                <w:numId w:val="1"/>
              </w:numPr>
              <w:spacing w:before="30" w:after="30"/>
              <w:rPr>
                <w:sz w:val="24"/>
                <w:szCs w:val="24"/>
              </w:rPr>
            </w:pPr>
            <w:r w:rsidRPr="002B2636">
              <w:rPr>
                <w:b/>
                <w:bCs/>
                <w:sz w:val="22"/>
                <w:szCs w:val="22"/>
              </w:rPr>
              <w:t xml:space="preserve">Planning and regulatory documentation: </w:t>
            </w:r>
            <w:r w:rsidRPr="002B2636">
              <w:rPr>
                <w:sz w:val="22"/>
                <w:szCs w:val="22"/>
              </w:rPr>
              <w:t>Consistent structure for reporting and communicating findings.</w:t>
            </w:r>
          </w:p>
          <w:p w14:paraId="7378E125" w14:textId="77777777" w:rsidR="00463050" w:rsidRDefault="00281872">
            <w:pPr>
              <w:pStyle w:val="ListParagraph"/>
              <w:numPr>
                <w:ilvl w:val="0"/>
                <w:numId w:val="1"/>
              </w:numPr>
              <w:spacing w:before="30" w:after="30"/>
            </w:pPr>
            <w:r w:rsidRPr="002B2636">
              <w:rPr>
                <w:b/>
                <w:bCs/>
                <w:sz w:val="22"/>
                <w:szCs w:val="22"/>
              </w:rPr>
              <w:t xml:space="preserve">Design support and monitoring: </w:t>
            </w:r>
            <w:r w:rsidRPr="002B2636">
              <w:rPr>
                <w:sz w:val="22"/>
                <w:szCs w:val="22"/>
              </w:rPr>
              <w:t>Detailed tier supports design decisions and performance evaluation when higher certainty is required.</w:t>
            </w:r>
          </w:p>
        </w:tc>
      </w:tr>
    </w:tbl>
    <w:p w14:paraId="79784907" w14:textId="77777777" w:rsidR="00463050" w:rsidRDefault="00281872" w:rsidP="003A144C">
      <w:pPr>
        <w:pBdr>
          <w:bottom w:val="single" w:sz="1" w:space="0" w:color="2B5A7C"/>
        </w:pBdr>
        <w:spacing w:before="120" w:after="80"/>
      </w:pPr>
      <w:r>
        <w:rPr>
          <w:b/>
          <w:bCs/>
          <w:color w:val="2B5A7C"/>
          <w:sz w:val="24"/>
          <w:szCs w:val="24"/>
        </w:rPr>
        <w:t>Resources</w:t>
      </w:r>
    </w:p>
    <w:p w14:paraId="16967C2B" w14:textId="77777777" w:rsidR="00463050" w:rsidRDefault="00281872">
      <w:pPr>
        <w:pStyle w:val="ListParagraph"/>
        <w:numPr>
          <w:ilvl w:val="0"/>
          <w:numId w:val="1"/>
        </w:numPr>
        <w:spacing w:before="40" w:after="40"/>
      </w:pPr>
      <w:r>
        <w:rPr>
          <w:b/>
          <w:bCs/>
          <w:sz w:val="18"/>
          <w:szCs w:val="18"/>
        </w:rPr>
        <w:t xml:space="preserve">Website: </w:t>
      </w:r>
      <w:hyperlink r:id="rId6" w:history="1">
        <w:r>
          <w:rPr>
            <w:color w:val="2B5A7C"/>
            <w:sz w:val="18"/>
            <w:szCs w:val="18"/>
            <w:u w:val="single"/>
          </w:rPr>
          <w:t>usace-wrises.github.io/</w:t>
        </w:r>
        <w:proofErr w:type="spellStart"/>
        <w:r>
          <w:rPr>
            <w:color w:val="2B5A7C"/>
            <w:sz w:val="18"/>
            <w:szCs w:val="18"/>
            <w:u w:val="single"/>
          </w:rPr>
          <w:t>staf</w:t>
        </w:r>
        <w:proofErr w:type="spellEnd"/>
      </w:hyperlink>
    </w:p>
    <w:p w14:paraId="26264362" w14:textId="77777777" w:rsidR="00463050" w:rsidRDefault="00281872">
      <w:pPr>
        <w:pStyle w:val="ListParagraph"/>
        <w:numPr>
          <w:ilvl w:val="0"/>
          <w:numId w:val="1"/>
        </w:numPr>
        <w:spacing w:before="40" w:after="40"/>
      </w:pPr>
      <w:r>
        <w:rPr>
          <w:b/>
          <w:bCs/>
          <w:sz w:val="18"/>
          <w:szCs w:val="18"/>
        </w:rPr>
        <w:t xml:space="preserve">Review of Assessments: </w:t>
      </w:r>
      <w:r>
        <w:rPr>
          <w:sz w:val="18"/>
          <w:szCs w:val="18"/>
        </w:rPr>
        <w:t xml:space="preserve">Stepchinski, L. M., McKay, S. K., Harris, A. E., &amp; Menichino, G. T. (2025). </w:t>
      </w:r>
      <w:hyperlink r:id="rId7" w:history="1">
        <w:r>
          <w:rPr>
            <w:color w:val="2B5A7C"/>
            <w:sz w:val="18"/>
            <w:szCs w:val="18"/>
            <w:u w:val="single"/>
          </w:rPr>
          <w:t>A Review of Stream Assessment Methods in the United States</w:t>
        </w:r>
      </w:hyperlink>
      <w:r>
        <w:rPr>
          <w:sz w:val="18"/>
          <w:szCs w:val="18"/>
        </w:rPr>
        <w:t>. Journal of the American Water Resources Association, 61.</w:t>
      </w:r>
    </w:p>
    <w:p w14:paraId="24F3BE33" w14:textId="77777777" w:rsidR="00463050" w:rsidRDefault="00281872">
      <w:pPr>
        <w:pStyle w:val="ListParagraph"/>
        <w:numPr>
          <w:ilvl w:val="0"/>
          <w:numId w:val="1"/>
        </w:numPr>
        <w:spacing w:before="40" w:after="40"/>
      </w:pPr>
      <w:r>
        <w:rPr>
          <w:b/>
          <w:bCs/>
          <w:sz w:val="18"/>
          <w:szCs w:val="18"/>
        </w:rPr>
        <w:t xml:space="preserve">Stream functions paper: </w:t>
      </w:r>
      <w:r>
        <w:rPr>
          <w:sz w:val="18"/>
          <w:szCs w:val="18"/>
        </w:rPr>
        <w:t xml:space="preserve">Stepchinski, L. M., McKay, S. K., &amp; Menichino, G. T. (In review). </w:t>
      </w:r>
      <w:hyperlink r:id="rId8" w:history="1">
        <w:r>
          <w:rPr>
            <w:color w:val="2B5A7C"/>
            <w:sz w:val="18"/>
            <w:szCs w:val="18"/>
            <w:u w:val="single"/>
          </w:rPr>
          <w:t>Synthesis and inventory of stream functions</w:t>
        </w:r>
      </w:hyperlink>
      <w:r>
        <w:rPr>
          <w:sz w:val="18"/>
          <w:szCs w:val="18"/>
        </w:rPr>
        <w:t>. Manuscript submitted for publication.</w:t>
      </w:r>
    </w:p>
    <w:p w14:paraId="35D47BD3" w14:textId="77777777" w:rsidR="00463050" w:rsidRDefault="00281872">
      <w:pPr>
        <w:pStyle w:val="ListParagraph"/>
        <w:numPr>
          <w:ilvl w:val="0"/>
          <w:numId w:val="1"/>
        </w:numPr>
        <w:spacing w:before="40" w:after="40"/>
      </w:pPr>
      <w:r>
        <w:rPr>
          <w:b/>
          <w:bCs/>
          <w:sz w:val="18"/>
          <w:szCs w:val="18"/>
        </w:rPr>
        <w:t xml:space="preserve">Tiered approach paper: </w:t>
      </w:r>
      <w:r>
        <w:rPr>
          <w:sz w:val="18"/>
          <w:szCs w:val="18"/>
        </w:rPr>
        <w:t xml:space="preserve">Stepchinski, L. M., McKay, S. K., &amp; Menichino, G. T. (In review). </w:t>
      </w:r>
      <w:hyperlink r:id="rId9" w:history="1">
        <w:r>
          <w:rPr>
            <w:color w:val="2B5A7C"/>
            <w:sz w:val="18"/>
            <w:szCs w:val="18"/>
            <w:u w:val="single"/>
          </w:rPr>
          <w:t>Tiered Approach to Assessing Stream Ecosystem Condition</w:t>
        </w:r>
      </w:hyperlink>
      <w:r>
        <w:rPr>
          <w:sz w:val="18"/>
          <w:szCs w:val="18"/>
        </w:rPr>
        <w:t>. Manuscript submitted for publication.</w:t>
      </w:r>
    </w:p>
    <w:p w14:paraId="339F2A91" w14:textId="77777777" w:rsidR="00463050" w:rsidRDefault="00281872">
      <w:pPr>
        <w:pStyle w:val="ListParagraph"/>
        <w:numPr>
          <w:ilvl w:val="0"/>
          <w:numId w:val="1"/>
        </w:numPr>
        <w:spacing w:before="40" w:after="40"/>
      </w:pPr>
      <w:r>
        <w:rPr>
          <w:b/>
          <w:bCs/>
          <w:sz w:val="18"/>
          <w:szCs w:val="18"/>
        </w:rPr>
        <w:t xml:space="preserve">SFARI Rapid Assessment: </w:t>
      </w:r>
      <w:r>
        <w:rPr>
          <w:sz w:val="18"/>
          <w:szCs w:val="18"/>
        </w:rPr>
        <w:t xml:space="preserve">David, G. C., Stepchinski, L. M., Wiest, S. R., &amp; Menichino, G. T. (In review). </w:t>
      </w:r>
      <w:hyperlink r:id="rId10" w:history="1">
        <w:r>
          <w:rPr>
            <w:color w:val="2B5A7C"/>
            <w:sz w:val="18"/>
            <w:szCs w:val="18"/>
            <w:u w:val="single"/>
          </w:rPr>
          <w:t>Stream Functions Assessment and Rapid Index (SFARI): A nationally applicable, rapid, function-based stream assessment</w:t>
        </w:r>
      </w:hyperlink>
      <w:r>
        <w:rPr>
          <w:sz w:val="18"/>
          <w:szCs w:val="18"/>
        </w:rPr>
        <w:t>. ERDC/EMRRP Technical Report. Vicksburg, MS: Army Engineer Research and Development Center.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6"/>
      </w:tblGrid>
      <w:tr w:rsidR="00463050" w14:paraId="743B8A51" w14:textId="77777777">
        <w:tc>
          <w:tcPr>
            <w:tcW w:w="5000" w:type="pct"/>
            <w:tcBorders>
              <w:top w:val="none" w:sz="0" w:space="0" w:color="FFFFFF"/>
              <w:left w:val="none" w:sz="0" w:space="0" w:color="FFFFFF"/>
              <w:bottom w:val="none" w:sz="0" w:space="0" w:color="FFFFFF"/>
              <w:right w:val="none" w:sz="0" w:space="0" w:color="FFFFFF"/>
            </w:tcBorders>
            <w:shd w:val="clear" w:color="FFFFFF" w:fill="2B5A7C"/>
            <w:tcMar>
              <w:top w:w="80" w:type="dxa"/>
              <w:left w:w="120" w:type="dxa"/>
              <w:bottom w:w="80" w:type="dxa"/>
              <w:right w:w="120" w:type="dxa"/>
            </w:tcMar>
          </w:tcPr>
          <w:p w14:paraId="7C30B924" w14:textId="77777777" w:rsidR="00463050" w:rsidRDefault="00281872">
            <w:pPr>
              <w:jc w:val="center"/>
            </w:pPr>
            <w:r>
              <w:rPr>
                <w:color w:val="FFFFFF"/>
              </w:rPr>
              <w:t>STAF provides a clear tiered pathway, a consistent set of stream functions, and a structured scoring approach that rolls function results into physical, chemical, and biological outcomes and an overall Ecosystem Condition Index. It helps teams scale effort to need, keep evaluations comparable, and communicate results clearly.</w:t>
            </w:r>
          </w:p>
        </w:tc>
      </w:tr>
    </w:tbl>
    <w:p w14:paraId="2B364987" w14:textId="77777777" w:rsidR="00281872" w:rsidRDefault="00281872" w:rsidP="002B2636"/>
    <w:sectPr w:rsidR="00281872">
      <w:pgSz w:w="12240" w:h="15840"/>
      <w:pgMar w:top="504" w:right="792" w:bottom="504"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E0459"/>
    <w:multiLevelType w:val="hybridMultilevel"/>
    <w:tmpl w:val="CF3A8DC8"/>
    <w:lvl w:ilvl="0" w:tplc="A482BF7E">
      <w:start w:val="1"/>
      <w:numFmt w:val="bullet"/>
      <w:lvlText w:val="●"/>
      <w:lvlJc w:val="left"/>
      <w:pPr>
        <w:ind w:left="720" w:hanging="360"/>
      </w:pPr>
    </w:lvl>
    <w:lvl w:ilvl="1" w:tplc="DCB0ED56">
      <w:start w:val="1"/>
      <w:numFmt w:val="bullet"/>
      <w:lvlText w:val="○"/>
      <w:lvlJc w:val="left"/>
      <w:pPr>
        <w:ind w:left="1440" w:hanging="360"/>
      </w:pPr>
    </w:lvl>
    <w:lvl w:ilvl="2" w:tplc="914C82C2">
      <w:start w:val="1"/>
      <w:numFmt w:val="bullet"/>
      <w:lvlText w:val="■"/>
      <w:lvlJc w:val="left"/>
      <w:pPr>
        <w:ind w:left="2160" w:hanging="360"/>
      </w:pPr>
    </w:lvl>
    <w:lvl w:ilvl="3" w:tplc="AA1A3B6C">
      <w:start w:val="1"/>
      <w:numFmt w:val="bullet"/>
      <w:lvlText w:val="●"/>
      <w:lvlJc w:val="left"/>
      <w:pPr>
        <w:ind w:left="2880" w:hanging="360"/>
      </w:pPr>
    </w:lvl>
    <w:lvl w:ilvl="4" w:tplc="12EA15CC">
      <w:start w:val="1"/>
      <w:numFmt w:val="bullet"/>
      <w:lvlText w:val="○"/>
      <w:lvlJc w:val="left"/>
      <w:pPr>
        <w:ind w:left="3600" w:hanging="360"/>
      </w:pPr>
    </w:lvl>
    <w:lvl w:ilvl="5" w:tplc="A0742520">
      <w:start w:val="1"/>
      <w:numFmt w:val="bullet"/>
      <w:lvlText w:val="■"/>
      <w:lvlJc w:val="left"/>
      <w:pPr>
        <w:ind w:left="4320" w:hanging="360"/>
      </w:pPr>
    </w:lvl>
    <w:lvl w:ilvl="6" w:tplc="87DEBAB8">
      <w:start w:val="1"/>
      <w:numFmt w:val="bullet"/>
      <w:lvlText w:val="●"/>
      <w:lvlJc w:val="left"/>
      <w:pPr>
        <w:ind w:left="5040" w:hanging="360"/>
      </w:pPr>
    </w:lvl>
    <w:lvl w:ilvl="7" w:tplc="BB0EC0CA">
      <w:start w:val="1"/>
      <w:numFmt w:val="bullet"/>
      <w:lvlText w:val="●"/>
      <w:lvlJc w:val="left"/>
      <w:pPr>
        <w:ind w:left="5760" w:hanging="360"/>
      </w:pPr>
    </w:lvl>
    <w:lvl w:ilvl="8" w:tplc="B6A4649E">
      <w:start w:val="1"/>
      <w:numFmt w:val="bullet"/>
      <w:lvlText w:val="●"/>
      <w:lvlJc w:val="left"/>
      <w:pPr>
        <w:ind w:left="6480" w:hanging="360"/>
      </w:pPr>
    </w:lvl>
  </w:abstractNum>
  <w:num w:numId="1" w16cid:durableId="840395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050"/>
    <w:rsid w:val="0020034D"/>
    <w:rsid w:val="00281872"/>
    <w:rsid w:val="002B2636"/>
    <w:rsid w:val="003A144C"/>
    <w:rsid w:val="00463050"/>
    <w:rsid w:val="009E59B7"/>
    <w:rsid w:val="00DC19A9"/>
    <w:rsid w:val="00F04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FD88"/>
  <w15:docId w15:val="{D61E9BAE-992C-4E58-BCDC-2A004662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B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mrrp.el.erdc.dren.mil/webinars/2024/07/2024-07-22-1300ct-Stepchinski-Menichino-SlideDeck.pdf" TargetMode="External"/><Relationship Id="rId3" Type="http://schemas.openxmlformats.org/officeDocument/2006/relationships/settings" Target="settings.xml"/><Relationship Id="rId7" Type="http://schemas.openxmlformats.org/officeDocument/2006/relationships/hyperlink" Target="https://doi.org/10.1111/1752-1688.7005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ace-wrises.github.io/sta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emrrp.el.erdc.dren.mil/webinars/2025/08/2025-08-28_EMRRP_Webinar_SFARI.pdf" TargetMode="External"/><Relationship Id="rId4" Type="http://schemas.openxmlformats.org/officeDocument/2006/relationships/webSettings" Target="webSettings.xml"/><Relationship Id="rId9" Type="http://schemas.openxmlformats.org/officeDocument/2006/relationships/hyperlink" Target="https://emrrp.el.erdc.dren.mil/factsheets/2025-11/FY26_TieredApproachtoAssessingStreamEcosystemCondition_Menichino_2025-09-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1161</Words>
  <Characters>6623</Characters>
  <Application>Microsoft Office Word</Application>
  <DocSecurity>0</DocSecurity>
  <Lines>55</Lines>
  <Paragraphs>15</Paragraphs>
  <ScaleCrop>false</ScaleCrop>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Garrett Menichino</cp:lastModifiedBy>
  <cp:revision>6</cp:revision>
  <cp:lastPrinted>2026-02-28T06:55:00Z</cp:lastPrinted>
  <dcterms:created xsi:type="dcterms:W3CDTF">2026-02-25T20:54:00Z</dcterms:created>
  <dcterms:modified xsi:type="dcterms:W3CDTF">2026-02-28T06:55:00Z</dcterms:modified>
</cp:coreProperties>
</file>