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4EFA" w:rsidRDefault="007F5949" w:rsidP="00842E41">
      <w:pPr>
        <w:pStyle w:val="Title"/>
      </w:pPr>
      <w:proofErr w:type="spellStart"/>
      <w:r>
        <w:t>RiverWare</w:t>
      </w:r>
      <w:proofErr w:type="spellEnd"/>
      <w:r>
        <w:t xml:space="preserve"> Standard Step Routing Parameter Creation Procedures</w:t>
      </w:r>
      <w:r w:rsidR="00842E41">
        <w:t xml:space="preserve"> for Reaches and Control Points</w:t>
      </w:r>
    </w:p>
    <w:p w:rsidR="00842E41" w:rsidRDefault="00842E41" w:rsidP="00842E41">
      <w:pPr>
        <w:pStyle w:val="Heading1"/>
      </w:pPr>
      <w:r>
        <w:t>Control Point Standard Step Routing Coefficients</w:t>
      </w:r>
    </w:p>
    <w:p w:rsidR="00842E41" w:rsidRDefault="00842E41" w:rsidP="00842E41">
      <w:r>
        <w:t xml:space="preserve">In </w:t>
      </w:r>
      <w:proofErr w:type="spellStart"/>
      <w:r>
        <w:t>RiverWare</w:t>
      </w:r>
      <w:proofErr w:type="spellEnd"/>
      <w:r>
        <w:t xml:space="preserve"> the control points use routing coefficients that </w:t>
      </w:r>
      <w:r w:rsidR="002D05D0">
        <w:t>are linear coefficients used for routing flow from the upstream reservoirs (</w:t>
      </w:r>
      <w:proofErr w:type="spellStart"/>
      <w:r w:rsidR="002D05D0">
        <w:t>RiverWare</w:t>
      </w:r>
      <w:proofErr w:type="spellEnd"/>
      <w:r w:rsidR="002D05D0">
        <w:t xml:space="preserve"> Users Manual). The routing coefficients represent the percentage of released flow from upstream reservoirs that will reach this control point at each </w:t>
      </w:r>
      <w:proofErr w:type="spellStart"/>
      <w:r w:rsidR="002D05D0">
        <w:t>timestep</w:t>
      </w:r>
      <w:proofErr w:type="spellEnd"/>
      <w:r w:rsidR="002D05D0">
        <w:t>.</w:t>
      </w:r>
    </w:p>
    <w:p w:rsidR="00321CE9" w:rsidRPr="00842E41" w:rsidRDefault="00321CE9" w:rsidP="00842E41">
      <w:r>
        <w:t>Figure 1 and Table 1 show an example of in</w:t>
      </w:r>
      <w:r w:rsidR="00946A04">
        <w:t>flow hydrograph and the corresponding routing coefficients. The routing coefficients need to add up to exactly 1.0.</w:t>
      </w:r>
    </w:p>
    <w:p w:rsidR="00946A04" w:rsidRDefault="006F1A9A" w:rsidP="00946A04">
      <w:pPr>
        <w:keepNext/>
        <w:tabs>
          <w:tab w:val="left" w:pos="2160"/>
        </w:tabs>
        <w:jc w:val="center"/>
      </w:pPr>
      <w:r>
        <w:rPr>
          <w:noProof/>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057" type="#_x0000_t120" style="position:absolute;left:0;text-align:left;margin-left:378.35pt;margin-top:255.1pt;width:30.4pt;height:22.5pt;z-index:251667456" filled="f" stroked="f" strokecolor="black [3213]">
            <v:textbox>
              <w:txbxContent>
                <w:p w:rsidR="00C81217" w:rsidRPr="006F1A9A" w:rsidRDefault="00C81217" w:rsidP="006F1A9A">
                  <w:pPr>
                    <w:rPr>
                      <w:b/>
                    </w:rPr>
                  </w:pPr>
                  <w:r w:rsidRPr="006F1A9A">
                    <w:rPr>
                      <w:b/>
                    </w:rPr>
                    <w:t>1</w:t>
                  </w:r>
                  <w:r>
                    <w:rPr>
                      <w:b/>
                    </w:rPr>
                    <w:t>0</w:t>
                  </w:r>
                </w:p>
              </w:txbxContent>
            </v:textbox>
          </v:shape>
        </w:pict>
      </w:r>
      <w:r>
        <w:rPr>
          <w:noProof/>
        </w:rPr>
        <w:pict>
          <v:shape id="_x0000_s1056" type="#_x0000_t120" style="position:absolute;left:0;text-align:left;margin-left:350.6pt;margin-top:255.1pt;width:20.25pt;height:22.5pt;z-index:251666432" filled="f" stroked="f" strokecolor="black [3213]">
            <v:textbox>
              <w:txbxContent>
                <w:p w:rsidR="00C81217" w:rsidRPr="006F1A9A" w:rsidRDefault="00C81217" w:rsidP="006F1A9A">
                  <w:pPr>
                    <w:rPr>
                      <w:b/>
                    </w:rPr>
                  </w:pPr>
                  <w:r>
                    <w:rPr>
                      <w:b/>
                    </w:rPr>
                    <w:t>9</w:t>
                  </w:r>
                </w:p>
              </w:txbxContent>
            </v:textbox>
          </v:shape>
        </w:pict>
      </w:r>
      <w:r>
        <w:rPr>
          <w:noProof/>
        </w:rPr>
        <w:pict>
          <v:shape id="_x0000_s1055" type="#_x0000_t120" style="position:absolute;left:0;text-align:left;margin-left:314.6pt;margin-top:255.1pt;width:20.25pt;height:22.5pt;z-index:251665408" filled="f" stroked="f" strokecolor="black [3213]">
            <v:textbox>
              <w:txbxContent>
                <w:p w:rsidR="00C81217" w:rsidRPr="006F1A9A" w:rsidRDefault="00C81217" w:rsidP="006F1A9A">
                  <w:pPr>
                    <w:rPr>
                      <w:b/>
                    </w:rPr>
                  </w:pPr>
                  <w:r>
                    <w:rPr>
                      <w:b/>
                    </w:rPr>
                    <w:t>8</w:t>
                  </w:r>
                </w:p>
              </w:txbxContent>
            </v:textbox>
          </v:shape>
        </w:pict>
      </w:r>
      <w:r>
        <w:rPr>
          <w:noProof/>
        </w:rPr>
        <w:pict>
          <v:shape id="_x0000_s1054" type="#_x0000_t120" style="position:absolute;left:0;text-align:left;margin-left:278.6pt;margin-top:255.1pt;width:20.25pt;height:22.5pt;z-index:251664384" filled="f" stroked="f" strokecolor="black [3213]">
            <v:textbox>
              <w:txbxContent>
                <w:p w:rsidR="00C81217" w:rsidRPr="006F1A9A" w:rsidRDefault="00C81217" w:rsidP="006F1A9A">
                  <w:pPr>
                    <w:rPr>
                      <w:b/>
                    </w:rPr>
                  </w:pPr>
                  <w:r>
                    <w:rPr>
                      <w:b/>
                    </w:rPr>
                    <w:t>7</w:t>
                  </w:r>
                </w:p>
              </w:txbxContent>
            </v:textbox>
          </v:shape>
        </w:pict>
      </w:r>
      <w:r>
        <w:rPr>
          <w:noProof/>
        </w:rPr>
        <w:pict>
          <v:shape id="_x0000_s1053" type="#_x0000_t120" style="position:absolute;left:0;text-align:left;margin-left:244.1pt;margin-top:255.1pt;width:20.25pt;height:22.5pt;z-index:251663360" filled="f" stroked="f" strokecolor="black [3213]">
            <v:textbox>
              <w:txbxContent>
                <w:p w:rsidR="00C81217" w:rsidRPr="006F1A9A" w:rsidRDefault="00C81217" w:rsidP="006F1A9A">
                  <w:pPr>
                    <w:rPr>
                      <w:b/>
                    </w:rPr>
                  </w:pPr>
                  <w:r>
                    <w:rPr>
                      <w:b/>
                    </w:rPr>
                    <w:t>6</w:t>
                  </w:r>
                </w:p>
              </w:txbxContent>
            </v:textbox>
          </v:shape>
        </w:pict>
      </w:r>
      <w:r>
        <w:rPr>
          <w:noProof/>
        </w:rPr>
        <w:pict>
          <v:shape id="_x0000_s1052" type="#_x0000_t120" style="position:absolute;left:0;text-align:left;margin-left:208.1pt;margin-top:255.1pt;width:20.25pt;height:22.5pt;z-index:251662336" filled="f" stroked="f" strokecolor="black [3213]">
            <v:textbox>
              <w:txbxContent>
                <w:p w:rsidR="00C81217" w:rsidRPr="006F1A9A" w:rsidRDefault="00C81217" w:rsidP="006F1A9A">
                  <w:pPr>
                    <w:rPr>
                      <w:b/>
                    </w:rPr>
                  </w:pPr>
                  <w:r>
                    <w:rPr>
                      <w:b/>
                    </w:rPr>
                    <w:t>5</w:t>
                  </w:r>
                </w:p>
              </w:txbxContent>
            </v:textbox>
          </v:shape>
        </w:pict>
      </w:r>
      <w:r>
        <w:rPr>
          <w:noProof/>
        </w:rPr>
        <w:pict>
          <v:shape id="_x0000_s1051" type="#_x0000_t120" style="position:absolute;left:0;text-align:left;margin-left:172.1pt;margin-top:255.1pt;width:20.25pt;height:22.5pt;z-index:251661312" filled="f" stroked="f" strokecolor="black [3213]">
            <v:textbox>
              <w:txbxContent>
                <w:p w:rsidR="00C81217" w:rsidRPr="006F1A9A" w:rsidRDefault="00C81217" w:rsidP="006F1A9A">
                  <w:pPr>
                    <w:rPr>
                      <w:b/>
                    </w:rPr>
                  </w:pPr>
                  <w:r>
                    <w:rPr>
                      <w:b/>
                    </w:rPr>
                    <w:t>4</w:t>
                  </w:r>
                </w:p>
              </w:txbxContent>
            </v:textbox>
          </v:shape>
        </w:pict>
      </w:r>
      <w:r>
        <w:rPr>
          <w:noProof/>
        </w:rPr>
        <w:pict>
          <v:shape id="_x0000_s1050" type="#_x0000_t120" style="position:absolute;left:0;text-align:left;margin-left:134.6pt;margin-top:255.1pt;width:20.25pt;height:22.5pt;z-index:251660288" filled="f" stroked="f" strokecolor="black [3213]">
            <v:textbox>
              <w:txbxContent>
                <w:p w:rsidR="00C81217" w:rsidRPr="006F1A9A" w:rsidRDefault="00C81217" w:rsidP="006F1A9A">
                  <w:pPr>
                    <w:rPr>
                      <w:b/>
                    </w:rPr>
                  </w:pPr>
                  <w:r>
                    <w:rPr>
                      <w:b/>
                    </w:rPr>
                    <w:t>3</w:t>
                  </w:r>
                </w:p>
              </w:txbxContent>
            </v:textbox>
          </v:shape>
        </w:pict>
      </w:r>
      <w:r>
        <w:rPr>
          <w:noProof/>
        </w:rPr>
        <w:pict>
          <v:shape id="_x0000_s1049" type="#_x0000_t120" style="position:absolute;left:0;text-align:left;margin-left:97.1pt;margin-top:255.1pt;width:20.25pt;height:22.5pt;z-index:251659264" filled="f" stroked="f" strokecolor="black [3213]">
            <v:textbox>
              <w:txbxContent>
                <w:p w:rsidR="00C81217" w:rsidRPr="006F1A9A" w:rsidRDefault="00C81217" w:rsidP="006F1A9A">
                  <w:pPr>
                    <w:rPr>
                      <w:b/>
                    </w:rPr>
                  </w:pPr>
                  <w:r>
                    <w:rPr>
                      <w:b/>
                    </w:rPr>
                    <w:t>2</w:t>
                  </w:r>
                </w:p>
              </w:txbxContent>
            </v:textbox>
          </v:shape>
        </w:pict>
      </w:r>
      <w:r>
        <w:rPr>
          <w:noProof/>
        </w:rPr>
        <w:pict>
          <v:shape id="_x0000_s1048" type="#_x0000_t120" style="position:absolute;left:0;text-align:left;margin-left:66pt;margin-top:255.1pt;width:20.25pt;height:22.5pt;z-index:251658240" filled="f" stroked="f" strokecolor="black [3213]">
            <v:textbox style="mso-next-textbox:#_x0000_s1048">
              <w:txbxContent>
                <w:p w:rsidR="00C81217" w:rsidRPr="006F1A9A" w:rsidRDefault="00C81217">
                  <w:pPr>
                    <w:rPr>
                      <w:b/>
                    </w:rPr>
                  </w:pPr>
                  <w:r w:rsidRPr="006F1A9A">
                    <w:rPr>
                      <w:b/>
                    </w:rPr>
                    <w:t>1</w:t>
                  </w:r>
                </w:p>
              </w:txbxContent>
            </v:textbox>
          </v:shape>
        </w:pict>
      </w:r>
      <w:r>
        <w:rPr>
          <w:noProof/>
        </w:rPr>
        <w:drawing>
          <wp:inline distT="0" distB="0" distL="0" distR="0">
            <wp:extent cx="4600575" cy="3571875"/>
            <wp:effectExtent l="19050" t="19050" r="28575" b="28575"/>
            <wp:docPr id="2" name="Picture 2" descr="C:\Users\m5echjs9\Pictures\routing flow hydro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5echjs9\Pictures\routing flow hydrograph.png"/>
                    <pic:cNvPicPr>
                      <a:picLocks noChangeAspect="1" noChangeArrowheads="1"/>
                    </pic:cNvPicPr>
                  </pic:nvPicPr>
                  <pic:blipFill>
                    <a:blip r:embed="rId5" cstate="print"/>
                    <a:srcRect/>
                    <a:stretch>
                      <a:fillRect/>
                    </a:stretch>
                  </pic:blipFill>
                  <pic:spPr bwMode="auto">
                    <a:xfrm>
                      <a:off x="0" y="0"/>
                      <a:ext cx="4600575" cy="3571875"/>
                    </a:xfrm>
                    <a:prstGeom prst="rect">
                      <a:avLst/>
                    </a:prstGeom>
                    <a:noFill/>
                    <a:ln w="3175">
                      <a:solidFill>
                        <a:schemeClr val="tx1"/>
                      </a:solidFill>
                      <a:miter lim="800000"/>
                      <a:headEnd/>
                      <a:tailEnd/>
                    </a:ln>
                  </pic:spPr>
                </pic:pic>
              </a:graphicData>
            </a:graphic>
          </wp:inline>
        </w:drawing>
      </w:r>
    </w:p>
    <w:p w:rsidR="00842E41" w:rsidRDefault="00946A04" w:rsidP="00946A04">
      <w:pPr>
        <w:pStyle w:val="Caption"/>
        <w:jc w:val="center"/>
      </w:pPr>
      <w:proofErr w:type="gramStart"/>
      <w:r>
        <w:t xml:space="preserve">Figure </w:t>
      </w:r>
      <w:fldSimple w:instr=" SEQ Figure \* ARABIC ">
        <w:r>
          <w:rPr>
            <w:noProof/>
          </w:rPr>
          <w:t>1</w:t>
        </w:r>
      </w:fldSimple>
      <w:r>
        <w:t>.</w:t>
      </w:r>
      <w:proofErr w:type="gramEnd"/>
      <w:r>
        <w:t xml:space="preserve"> </w:t>
      </w:r>
      <w:proofErr w:type="gramStart"/>
      <w:r>
        <w:t>Inflow hydrograph to a control point, with the colored area below the curve representing the percentage of flow correlating to that section.</w:t>
      </w:r>
      <w:proofErr w:type="gramEnd"/>
      <w:r>
        <w:t xml:space="preserve"> </w:t>
      </w:r>
    </w:p>
    <w:p w:rsidR="00946A04" w:rsidRPr="00946A04" w:rsidRDefault="00946A04" w:rsidP="00946A04"/>
    <w:p w:rsidR="00946A04" w:rsidRDefault="00946A04" w:rsidP="00946A04">
      <w:pPr>
        <w:pStyle w:val="Caption"/>
        <w:keepNext/>
      </w:pPr>
      <w:proofErr w:type="gramStart"/>
      <w:r>
        <w:t xml:space="preserve">Table </w:t>
      </w:r>
      <w:fldSimple w:instr=" SEQ Table \* ARABIC ">
        <w:r>
          <w:rPr>
            <w:noProof/>
          </w:rPr>
          <w:t>1</w:t>
        </w:r>
      </w:fldSimple>
      <w:r>
        <w:t>.</w:t>
      </w:r>
      <w:proofErr w:type="gramEnd"/>
      <w:r>
        <w:t xml:space="preserve"> Routing coefficients from inflow hydrograph shown in Figure 1.</w:t>
      </w:r>
    </w:p>
    <w:tbl>
      <w:tblPr>
        <w:tblStyle w:val="TableGrid"/>
        <w:tblW w:w="0" w:type="auto"/>
        <w:jc w:val="center"/>
        <w:tblLook w:val="04A0"/>
      </w:tblPr>
      <w:tblGrid>
        <w:gridCol w:w="1008"/>
        <w:gridCol w:w="2070"/>
      </w:tblGrid>
      <w:tr w:rsidR="006F1A9A" w:rsidTr="00321CE9">
        <w:trPr>
          <w:jc w:val="center"/>
        </w:trPr>
        <w:tc>
          <w:tcPr>
            <w:tcW w:w="1008" w:type="dxa"/>
          </w:tcPr>
          <w:p w:rsidR="006F1A9A" w:rsidRDefault="006F1A9A" w:rsidP="006F1A9A">
            <w:pPr>
              <w:tabs>
                <w:tab w:val="left" w:pos="2160"/>
              </w:tabs>
              <w:jc w:val="center"/>
            </w:pPr>
          </w:p>
        </w:tc>
        <w:tc>
          <w:tcPr>
            <w:tcW w:w="2070" w:type="dxa"/>
          </w:tcPr>
          <w:p w:rsidR="006F1A9A" w:rsidRDefault="006F1A9A" w:rsidP="006F1A9A">
            <w:pPr>
              <w:tabs>
                <w:tab w:val="left" w:pos="2160"/>
              </w:tabs>
              <w:jc w:val="center"/>
            </w:pPr>
            <w:proofErr w:type="spellStart"/>
            <w:r>
              <w:t>Hulah</w:t>
            </w:r>
            <w:proofErr w:type="spellEnd"/>
          </w:p>
        </w:tc>
      </w:tr>
      <w:tr w:rsidR="006F1A9A" w:rsidTr="00321CE9">
        <w:trPr>
          <w:jc w:val="center"/>
        </w:trPr>
        <w:tc>
          <w:tcPr>
            <w:tcW w:w="1008" w:type="dxa"/>
          </w:tcPr>
          <w:p w:rsidR="006F1A9A" w:rsidRDefault="006F1A9A" w:rsidP="006F1A9A">
            <w:pPr>
              <w:tabs>
                <w:tab w:val="left" w:pos="2160"/>
              </w:tabs>
              <w:jc w:val="center"/>
            </w:pPr>
          </w:p>
        </w:tc>
        <w:tc>
          <w:tcPr>
            <w:tcW w:w="2070" w:type="dxa"/>
          </w:tcPr>
          <w:p w:rsidR="006F1A9A" w:rsidRDefault="006F1A9A" w:rsidP="006F1A9A">
            <w:pPr>
              <w:tabs>
                <w:tab w:val="left" w:pos="2160"/>
              </w:tabs>
              <w:jc w:val="center"/>
            </w:pPr>
            <w:r>
              <w:t>Routing Coefficient</w:t>
            </w:r>
          </w:p>
        </w:tc>
      </w:tr>
      <w:tr w:rsidR="006F1A9A" w:rsidTr="00321CE9">
        <w:trPr>
          <w:jc w:val="center"/>
        </w:trPr>
        <w:tc>
          <w:tcPr>
            <w:tcW w:w="1008" w:type="dxa"/>
          </w:tcPr>
          <w:p w:rsidR="006F1A9A" w:rsidRDefault="006F1A9A" w:rsidP="006F1A9A">
            <w:pPr>
              <w:tabs>
                <w:tab w:val="left" w:pos="2160"/>
              </w:tabs>
              <w:jc w:val="center"/>
            </w:pPr>
            <w:r>
              <w:lastRenderedPageBreak/>
              <w:t>1</w:t>
            </w:r>
          </w:p>
        </w:tc>
        <w:tc>
          <w:tcPr>
            <w:tcW w:w="2070" w:type="dxa"/>
          </w:tcPr>
          <w:p w:rsidR="006F1A9A" w:rsidRDefault="00321CE9" w:rsidP="006F1A9A">
            <w:pPr>
              <w:tabs>
                <w:tab w:val="left" w:pos="2160"/>
              </w:tabs>
              <w:jc w:val="center"/>
            </w:pPr>
            <w:r>
              <w:t>0.02</w:t>
            </w:r>
          </w:p>
        </w:tc>
      </w:tr>
      <w:tr w:rsidR="006F1A9A" w:rsidTr="00321CE9">
        <w:trPr>
          <w:jc w:val="center"/>
        </w:trPr>
        <w:tc>
          <w:tcPr>
            <w:tcW w:w="1008" w:type="dxa"/>
          </w:tcPr>
          <w:p w:rsidR="006F1A9A" w:rsidRDefault="006F1A9A" w:rsidP="006F1A9A">
            <w:pPr>
              <w:tabs>
                <w:tab w:val="left" w:pos="2160"/>
              </w:tabs>
              <w:jc w:val="center"/>
            </w:pPr>
            <w:r>
              <w:t>2</w:t>
            </w:r>
          </w:p>
        </w:tc>
        <w:tc>
          <w:tcPr>
            <w:tcW w:w="2070" w:type="dxa"/>
          </w:tcPr>
          <w:p w:rsidR="006F1A9A" w:rsidRDefault="00321CE9" w:rsidP="006F1A9A">
            <w:pPr>
              <w:tabs>
                <w:tab w:val="left" w:pos="2160"/>
              </w:tabs>
              <w:jc w:val="center"/>
            </w:pPr>
            <w:r>
              <w:t>0.05</w:t>
            </w:r>
          </w:p>
        </w:tc>
      </w:tr>
      <w:tr w:rsidR="006F1A9A" w:rsidTr="00321CE9">
        <w:trPr>
          <w:jc w:val="center"/>
        </w:trPr>
        <w:tc>
          <w:tcPr>
            <w:tcW w:w="1008" w:type="dxa"/>
          </w:tcPr>
          <w:p w:rsidR="006F1A9A" w:rsidRDefault="006F1A9A" w:rsidP="006F1A9A">
            <w:pPr>
              <w:tabs>
                <w:tab w:val="left" w:pos="2160"/>
              </w:tabs>
              <w:jc w:val="center"/>
            </w:pPr>
            <w:r>
              <w:t>3</w:t>
            </w:r>
          </w:p>
        </w:tc>
        <w:tc>
          <w:tcPr>
            <w:tcW w:w="2070" w:type="dxa"/>
          </w:tcPr>
          <w:p w:rsidR="006F1A9A" w:rsidRDefault="00321CE9" w:rsidP="006F1A9A">
            <w:pPr>
              <w:tabs>
                <w:tab w:val="left" w:pos="2160"/>
              </w:tabs>
              <w:jc w:val="center"/>
            </w:pPr>
            <w:r>
              <w:t>0.08</w:t>
            </w:r>
          </w:p>
        </w:tc>
      </w:tr>
      <w:tr w:rsidR="006F1A9A" w:rsidTr="00321CE9">
        <w:trPr>
          <w:jc w:val="center"/>
        </w:trPr>
        <w:tc>
          <w:tcPr>
            <w:tcW w:w="1008" w:type="dxa"/>
          </w:tcPr>
          <w:p w:rsidR="006F1A9A" w:rsidRDefault="006F1A9A" w:rsidP="006F1A9A">
            <w:pPr>
              <w:tabs>
                <w:tab w:val="left" w:pos="2160"/>
              </w:tabs>
              <w:jc w:val="center"/>
            </w:pPr>
            <w:r>
              <w:t>4</w:t>
            </w:r>
          </w:p>
        </w:tc>
        <w:tc>
          <w:tcPr>
            <w:tcW w:w="2070" w:type="dxa"/>
          </w:tcPr>
          <w:p w:rsidR="006F1A9A" w:rsidRDefault="00321CE9" w:rsidP="006F1A9A">
            <w:pPr>
              <w:tabs>
                <w:tab w:val="left" w:pos="2160"/>
              </w:tabs>
              <w:jc w:val="center"/>
            </w:pPr>
            <w:r>
              <w:t>0.15</w:t>
            </w:r>
          </w:p>
        </w:tc>
      </w:tr>
      <w:tr w:rsidR="006F1A9A" w:rsidTr="00321CE9">
        <w:trPr>
          <w:jc w:val="center"/>
        </w:trPr>
        <w:tc>
          <w:tcPr>
            <w:tcW w:w="1008" w:type="dxa"/>
          </w:tcPr>
          <w:p w:rsidR="006F1A9A" w:rsidRDefault="006F1A9A" w:rsidP="006F1A9A">
            <w:pPr>
              <w:tabs>
                <w:tab w:val="left" w:pos="2160"/>
              </w:tabs>
              <w:jc w:val="center"/>
            </w:pPr>
            <w:r>
              <w:t>5</w:t>
            </w:r>
          </w:p>
        </w:tc>
        <w:tc>
          <w:tcPr>
            <w:tcW w:w="2070" w:type="dxa"/>
          </w:tcPr>
          <w:p w:rsidR="006F1A9A" w:rsidRDefault="00321CE9" w:rsidP="006F1A9A">
            <w:pPr>
              <w:tabs>
                <w:tab w:val="left" w:pos="2160"/>
              </w:tabs>
              <w:jc w:val="center"/>
            </w:pPr>
            <w:r>
              <w:t>0.2</w:t>
            </w:r>
          </w:p>
        </w:tc>
      </w:tr>
      <w:tr w:rsidR="006F1A9A" w:rsidTr="00321CE9">
        <w:trPr>
          <w:jc w:val="center"/>
        </w:trPr>
        <w:tc>
          <w:tcPr>
            <w:tcW w:w="1008" w:type="dxa"/>
          </w:tcPr>
          <w:p w:rsidR="006F1A9A" w:rsidRDefault="006F1A9A" w:rsidP="006F1A9A">
            <w:pPr>
              <w:tabs>
                <w:tab w:val="left" w:pos="2160"/>
              </w:tabs>
              <w:jc w:val="center"/>
            </w:pPr>
            <w:r>
              <w:t>6</w:t>
            </w:r>
          </w:p>
        </w:tc>
        <w:tc>
          <w:tcPr>
            <w:tcW w:w="2070" w:type="dxa"/>
          </w:tcPr>
          <w:p w:rsidR="006F1A9A" w:rsidRDefault="00321CE9" w:rsidP="006F1A9A">
            <w:pPr>
              <w:tabs>
                <w:tab w:val="left" w:pos="2160"/>
              </w:tabs>
              <w:jc w:val="center"/>
            </w:pPr>
            <w:r>
              <w:t>0.2</w:t>
            </w:r>
          </w:p>
        </w:tc>
      </w:tr>
      <w:tr w:rsidR="006F1A9A" w:rsidTr="00321CE9">
        <w:trPr>
          <w:jc w:val="center"/>
        </w:trPr>
        <w:tc>
          <w:tcPr>
            <w:tcW w:w="1008" w:type="dxa"/>
          </w:tcPr>
          <w:p w:rsidR="006F1A9A" w:rsidRDefault="006F1A9A" w:rsidP="006F1A9A">
            <w:pPr>
              <w:tabs>
                <w:tab w:val="left" w:pos="2160"/>
              </w:tabs>
              <w:jc w:val="center"/>
            </w:pPr>
            <w:r>
              <w:t>7</w:t>
            </w:r>
          </w:p>
        </w:tc>
        <w:tc>
          <w:tcPr>
            <w:tcW w:w="2070" w:type="dxa"/>
          </w:tcPr>
          <w:p w:rsidR="006F1A9A" w:rsidRDefault="00321CE9" w:rsidP="006F1A9A">
            <w:pPr>
              <w:tabs>
                <w:tab w:val="left" w:pos="2160"/>
              </w:tabs>
              <w:jc w:val="center"/>
            </w:pPr>
            <w:r>
              <w:t>0.15</w:t>
            </w:r>
          </w:p>
        </w:tc>
      </w:tr>
      <w:tr w:rsidR="006F1A9A" w:rsidTr="00321CE9">
        <w:trPr>
          <w:jc w:val="center"/>
        </w:trPr>
        <w:tc>
          <w:tcPr>
            <w:tcW w:w="1008" w:type="dxa"/>
          </w:tcPr>
          <w:p w:rsidR="006F1A9A" w:rsidRDefault="006F1A9A" w:rsidP="006F1A9A">
            <w:pPr>
              <w:tabs>
                <w:tab w:val="left" w:pos="2160"/>
              </w:tabs>
              <w:jc w:val="center"/>
            </w:pPr>
            <w:r>
              <w:t>8</w:t>
            </w:r>
          </w:p>
        </w:tc>
        <w:tc>
          <w:tcPr>
            <w:tcW w:w="2070" w:type="dxa"/>
          </w:tcPr>
          <w:p w:rsidR="006F1A9A" w:rsidRDefault="00321CE9" w:rsidP="006F1A9A">
            <w:pPr>
              <w:tabs>
                <w:tab w:val="left" w:pos="2160"/>
              </w:tabs>
              <w:jc w:val="center"/>
            </w:pPr>
            <w:r>
              <w:t>0.08</w:t>
            </w:r>
          </w:p>
        </w:tc>
      </w:tr>
      <w:tr w:rsidR="006F1A9A" w:rsidTr="00321CE9">
        <w:trPr>
          <w:jc w:val="center"/>
        </w:trPr>
        <w:tc>
          <w:tcPr>
            <w:tcW w:w="1008" w:type="dxa"/>
          </w:tcPr>
          <w:p w:rsidR="006F1A9A" w:rsidRDefault="006F1A9A" w:rsidP="006F1A9A">
            <w:pPr>
              <w:tabs>
                <w:tab w:val="left" w:pos="2160"/>
              </w:tabs>
              <w:jc w:val="center"/>
            </w:pPr>
            <w:r>
              <w:t>9</w:t>
            </w:r>
          </w:p>
        </w:tc>
        <w:tc>
          <w:tcPr>
            <w:tcW w:w="2070" w:type="dxa"/>
          </w:tcPr>
          <w:p w:rsidR="006F1A9A" w:rsidRDefault="00321CE9" w:rsidP="006F1A9A">
            <w:pPr>
              <w:tabs>
                <w:tab w:val="left" w:pos="2160"/>
              </w:tabs>
              <w:jc w:val="center"/>
            </w:pPr>
            <w:r>
              <w:t>0.05</w:t>
            </w:r>
          </w:p>
        </w:tc>
      </w:tr>
      <w:tr w:rsidR="006F1A9A" w:rsidTr="00321CE9">
        <w:trPr>
          <w:jc w:val="center"/>
        </w:trPr>
        <w:tc>
          <w:tcPr>
            <w:tcW w:w="1008" w:type="dxa"/>
          </w:tcPr>
          <w:p w:rsidR="006F1A9A" w:rsidRDefault="006F1A9A" w:rsidP="006F1A9A">
            <w:pPr>
              <w:tabs>
                <w:tab w:val="left" w:pos="2160"/>
              </w:tabs>
              <w:jc w:val="center"/>
            </w:pPr>
            <w:r>
              <w:t>10</w:t>
            </w:r>
          </w:p>
        </w:tc>
        <w:tc>
          <w:tcPr>
            <w:tcW w:w="2070" w:type="dxa"/>
          </w:tcPr>
          <w:p w:rsidR="006F1A9A" w:rsidRDefault="00321CE9" w:rsidP="006F1A9A">
            <w:pPr>
              <w:tabs>
                <w:tab w:val="left" w:pos="2160"/>
              </w:tabs>
              <w:jc w:val="center"/>
            </w:pPr>
            <w:r>
              <w:t>0.02</w:t>
            </w:r>
          </w:p>
        </w:tc>
      </w:tr>
    </w:tbl>
    <w:p w:rsidR="006F1A9A" w:rsidRDefault="006F1A9A" w:rsidP="006F1A9A">
      <w:pPr>
        <w:tabs>
          <w:tab w:val="left" w:pos="2160"/>
        </w:tabs>
        <w:jc w:val="center"/>
      </w:pPr>
    </w:p>
    <w:p w:rsidR="00946A04" w:rsidRDefault="006F4DBC" w:rsidP="00946A04">
      <w:pPr>
        <w:tabs>
          <w:tab w:val="left" w:pos="2160"/>
        </w:tabs>
      </w:pPr>
      <w:r>
        <w:t xml:space="preserve">For each reservoir upstream of a control point near channel capacity releases are made for a six hour period. These releases are routed through reaches to the control points using HEC-1 VANT model, which was modified from the VANB model. It includes routing from KAW, PENS, and HUDS, which were not part of the VANB model. The releases from each reservoir must be run separately to determine the corresponding routing coefficients for only this reservoir. The resulting flows are stored in a </w:t>
      </w:r>
      <w:proofErr w:type="spellStart"/>
      <w:r>
        <w:t>Dssfile</w:t>
      </w:r>
      <w:proofErr w:type="spellEnd"/>
      <w:r>
        <w:t xml:space="preserve">, and the routing coefficients can be calculated using the </w:t>
      </w:r>
      <w:proofErr w:type="spellStart"/>
      <w:r>
        <w:t>StandardStep_Routing</w:t>
      </w:r>
      <w:proofErr w:type="spellEnd"/>
      <w:r>
        <w:t xml:space="preserve"> script.</w:t>
      </w:r>
    </w:p>
    <w:p w:rsidR="00946A04" w:rsidRDefault="006F4DBC" w:rsidP="00946A04">
      <w:pPr>
        <w:tabs>
          <w:tab w:val="left" w:pos="2160"/>
        </w:tabs>
      </w:pPr>
      <w:r>
        <w:t xml:space="preserve">In the </w:t>
      </w:r>
      <w:proofErr w:type="spellStart"/>
      <w:r>
        <w:t>StandardStep_Routing</w:t>
      </w:r>
      <w:proofErr w:type="spellEnd"/>
      <w:r>
        <w:t xml:space="preserve"> script t</w:t>
      </w:r>
      <w:r w:rsidR="00946A04">
        <w:t xml:space="preserve">he routing coefficients are calculated as the sum of the flow </w:t>
      </w:r>
      <w:r>
        <w:t>for a 6-hour time period divided by the sum of the total flow through the control point, and is summarized in the following equation</w:t>
      </w:r>
    </w:p>
    <w:p w:rsidR="00946A04" w:rsidRDefault="00946A04" w:rsidP="00946A04">
      <w:pPr>
        <w:tabs>
          <w:tab w:val="left" w:pos="2160"/>
        </w:tabs>
        <w:rPr>
          <w:rFonts w:eastAsiaTheme="minorEastAsia"/>
        </w:rPr>
      </w:pPr>
      <m:oMathPara>
        <m:oMath>
          <m:r>
            <w:rPr>
              <w:rFonts w:ascii="Cambria Math" w:hAnsi="Cambria Math"/>
            </w:rPr>
            <m:t xml:space="preserve">Routing coefficient= </m:t>
          </m:r>
          <m:f>
            <m:fPr>
              <m:ctrlPr>
                <w:rPr>
                  <w:rFonts w:ascii="Cambria Math" w:hAnsi="Cambria Math"/>
                  <w:i/>
                </w:rPr>
              </m:ctrlPr>
            </m:fPr>
            <m:num>
              <m:nary>
                <m:naryPr>
                  <m:chr m:val="∑"/>
                  <m:limLoc m:val="undOvr"/>
                  <m:ctrlPr>
                    <w:rPr>
                      <w:rFonts w:ascii="Cambria Math" w:hAnsi="Cambria Math"/>
                      <w:i/>
                    </w:rPr>
                  </m:ctrlPr>
                </m:naryPr>
                <m:sub/>
                <m:sup>
                  <m:r>
                    <w:rPr>
                      <w:rFonts w:ascii="Cambria Math" w:hAnsi="Cambria Math"/>
                    </w:rPr>
                    <m:t>6-</m:t>
                  </m:r>
                  <m:r>
                    <w:rPr>
                      <w:rFonts w:ascii="Cambria Math" w:hAnsi="Cambria Math"/>
                    </w:rPr>
                    <m:t xml:space="preserve">hr period </m:t>
                  </m:r>
                </m:sup>
                <m:e>
                  <m:r>
                    <w:rPr>
                      <w:rFonts w:ascii="Cambria Math" w:hAnsi="Cambria Math"/>
                    </w:rPr>
                    <m:t>flow</m:t>
                  </m:r>
                </m:e>
              </m:nary>
            </m:num>
            <m:den>
              <m:nary>
                <m:naryPr>
                  <m:chr m:val="∑"/>
                  <m:limLoc m:val="undOvr"/>
                  <m:subHide m:val="on"/>
                  <m:supHide m:val="on"/>
                  <m:ctrlPr>
                    <w:rPr>
                      <w:rFonts w:ascii="Cambria Math" w:hAnsi="Cambria Math"/>
                      <w:i/>
                    </w:rPr>
                  </m:ctrlPr>
                </m:naryPr>
                <m:sub/>
                <m:sup/>
                <m:e>
                  <m:r>
                    <w:rPr>
                      <w:rFonts w:ascii="Cambria Math" w:hAnsi="Cambria Math"/>
                    </w:rPr>
                    <m:t>Total flow</m:t>
                  </m:r>
                </m:e>
              </m:nary>
            </m:den>
          </m:f>
        </m:oMath>
      </m:oMathPara>
    </w:p>
    <w:p w:rsidR="006F4DBC" w:rsidRDefault="006F4DBC" w:rsidP="00946A04">
      <w:pPr>
        <w:tabs>
          <w:tab w:val="left" w:pos="2160"/>
        </w:tabs>
        <w:rPr>
          <w:rFonts w:eastAsiaTheme="minorEastAsia"/>
        </w:rPr>
      </w:pPr>
      <w:r>
        <w:rPr>
          <w:rFonts w:eastAsiaTheme="minorEastAsia"/>
        </w:rPr>
        <w:t xml:space="preserve">Since, the routing coefficients have to add up to exactly 1.0, there is a small error introduced </w:t>
      </w:r>
      <w:r w:rsidR="00415261">
        <w:rPr>
          <w:rFonts w:eastAsiaTheme="minorEastAsia"/>
        </w:rPr>
        <w:t>by setting the precision. This error is then added to the maximum routing coefficients. The error is very small and will not significantly change the results. The resulting</w:t>
      </w:r>
      <w:r>
        <w:rPr>
          <w:rFonts w:eastAsiaTheme="minorEastAsia"/>
        </w:rPr>
        <w:t xml:space="preserve"> routing coefficients are</w:t>
      </w:r>
      <w:r w:rsidR="00415261">
        <w:rPr>
          <w:rFonts w:eastAsiaTheme="minorEastAsia"/>
        </w:rPr>
        <w:t xml:space="preserve"> placed in a </w:t>
      </w:r>
      <w:proofErr w:type="spellStart"/>
      <w:r w:rsidR="00415261">
        <w:rPr>
          <w:rFonts w:eastAsiaTheme="minorEastAsia"/>
        </w:rPr>
        <w:t>Dssfile</w:t>
      </w:r>
      <w:proofErr w:type="spellEnd"/>
      <w:r w:rsidR="00415261">
        <w:rPr>
          <w:rFonts w:eastAsiaTheme="minorEastAsia"/>
        </w:rPr>
        <w:t xml:space="preserve"> with the same pathnames as the routing reach, except the f part was changed from CALC to REACHSTEP. </w:t>
      </w:r>
    </w:p>
    <w:p w:rsidR="00415261" w:rsidRDefault="00415261" w:rsidP="00415261">
      <w:pPr>
        <w:pStyle w:val="Heading1"/>
        <w:rPr>
          <w:rFonts w:eastAsiaTheme="minorEastAsia"/>
        </w:rPr>
      </w:pPr>
      <w:r>
        <w:rPr>
          <w:rFonts w:eastAsiaTheme="minorEastAsia"/>
        </w:rPr>
        <w:t>Routing Reach Lag Coefficients</w:t>
      </w:r>
    </w:p>
    <w:p w:rsidR="00415261" w:rsidRDefault="00415261" w:rsidP="00415261">
      <w:r>
        <w:t xml:space="preserve">The routing reach </w:t>
      </w:r>
      <w:r w:rsidR="00E47707">
        <w:t xml:space="preserve">lag coefficients are similar to the routing coefficients in that they use the standard step routing, but this time these lag coefficients are for flow through the reach, instead of from an upstream reservoir. </w:t>
      </w:r>
    </w:p>
    <w:p w:rsidR="00C81217" w:rsidRPr="00415261" w:rsidRDefault="00C81217" w:rsidP="00415261">
      <w:r>
        <w:t xml:space="preserve">In order to calculate the lag coefficients a flow near channel capacity is input for 6-hours at the upstream end of the reach. At the downstream </w:t>
      </w:r>
      <w:r w:rsidR="008B3EC6">
        <w:t xml:space="preserve">end of the reach the resulting hydrograph is used with the method described above to calculate the lag coefficients. The </w:t>
      </w:r>
      <w:proofErr w:type="spellStart"/>
      <w:r w:rsidR="008B3EC6">
        <w:t>StandardStep_ReachRouting</w:t>
      </w:r>
      <w:proofErr w:type="spellEnd"/>
      <w:r w:rsidR="008B3EC6">
        <w:t xml:space="preserve"> script is used to calculate the lag coefficients and save the results to a dssfile.</w:t>
      </w:r>
    </w:p>
    <w:p w:rsidR="00946A04" w:rsidRPr="00842E41" w:rsidRDefault="00946A04" w:rsidP="00946A04">
      <w:pPr>
        <w:tabs>
          <w:tab w:val="left" w:pos="2160"/>
        </w:tabs>
      </w:pPr>
    </w:p>
    <w:sectPr w:rsidR="00946A04" w:rsidRPr="00842E41" w:rsidSect="00304E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F5949"/>
    <w:rsid w:val="002D05D0"/>
    <w:rsid w:val="00304EFA"/>
    <w:rsid w:val="00321CE9"/>
    <w:rsid w:val="00415261"/>
    <w:rsid w:val="006412FF"/>
    <w:rsid w:val="006F1A9A"/>
    <w:rsid w:val="006F4DBC"/>
    <w:rsid w:val="007C758E"/>
    <w:rsid w:val="007F5949"/>
    <w:rsid w:val="00842E41"/>
    <w:rsid w:val="008B3EC6"/>
    <w:rsid w:val="00946A04"/>
    <w:rsid w:val="00A554A3"/>
    <w:rsid w:val="00C81217"/>
    <w:rsid w:val="00E477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8">
      <o:colormenu v:ext="edit" fillcolor="none" strokecolor="none"/>
    </o:shapedefaults>
    <o:shapelayout v:ext="edit">
      <o:idmap v:ext="edit" data="1"/>
      <o:rules v:ext="edit">
        <o:r id="V:Rule2" type="connector" idref="#_x0000_s1029"/>
        <o:r id="V:Rule3" type="connector" idref="#_x0000_s103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4EFA"/>
  </w:style>
  <w:style w:type="paragraph" w:styleId="Heading1">
    <w:name w:val="heading 1"/>
    <w:basedOn w:val="Normal"/>
    <w:next w:val="Normal"/>
    <w:link w:val="Heading1Char"/>
    <w:uiPriority w:val="9"/>
    <w:qFormat/>
    <w:rsid w:val="00842E4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2E41"/>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842E4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2E41"/>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A554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54A3"/>
    <w:rPr>
      <w:rFonts w:ascii="Tahoma" w:hAnsi="Tahoma" w:cs="Tahoma"/>
      <w:sz w:val="16"/>
      <w:szCs w:val="16"/>
    </w:rPr>
  </w:style>
  <w:style w:type="table" w:styleId="TableGrid">
    <w:name w:val="Table Grid"/>
    <w:basedOn w:val="TableNormal"/>
    <w:uiPriority w:val="59"/>
    <w:rsid w:val="006F1A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946A04"/>
    <w:pPr>
      <w:spacing w:line="240" w:lineRule="auto"/>
    </w:pPr>
    <w:rPr>
      <w:b/>
      <w:bCs/>
      <w:color w:val="4F81BD" w:themeColor="accent1"/>
      <w:sz w:val="18"/>
      <w:szCs w:val="18"/>
    </w:rPr>
  </w:style>
  <w:style w:type="character" w:styleId="PlaceholderText">
    <w:name w:val="Placeholder Text"/>
    <w:basedOn w:val="DefaultParagraphFont"/>
    <w:uiPriority w:val="99"/>
    <w:semiHidden/>
    <w:rsid w:val="00946A04"/>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37F137B-40B3-42F8-A6B0-E654B638CE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2</Pages>
  <Words>443</Words>
  <Characters>2528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USACE</Company>
  <LinksUpToDate>false</LinksUpToDate>
  <CharactersWithSpaces>2966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m5echjs9</dc:creator>
  <cp:lastModifiedBy>m5echjs9</cp:lastModifiedBy>
  <cp:revision>3</cp:revision>
  <dcterms:created xsi:type="dcterms:W3CDTF">2014-07-30T12:59:00Z</dcterms:created>
  <dcterms:modified xsi:type="dcterms:W3CDTF">2014-07-30T15:21:00Z</dcterms:modified>
</cp:coreProperties>
</file>