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PEX3 Analysis Report: LRU Page Replacement Simulation</w:t>
      </w:r>
    </w:p>
    <w:p w:rsidR="00000000" w:rsidDel="00000000" w:rsidP="00000000" w:rsidRDefault="00000000" w:rsidRPr="00000000" w14:paraId="00000002">
      <w:pPr>
        <w:spacing w:after="1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CS 483 — Operating Systems — Spring 2026</w:t>
        <w:br w:type="textWrapping"/>
        <w:t xml:space="preserve">  Name: mark alano     Section: m3     Date: 24 apr 2026</w:t>
      </w:r>
    </w:p>
    <w:p w:rsidR="00000000" w:rsidDel="00000000" w:rsidP="00000000" w:rsidRDefault="00000000" w:rsidRPr="00000000" w14:paraId="0000000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Documentation Statement</w:t>
      </w:r>
    </w:p>
    <w:p w:rsidR="00000000" w:rsidDel="00000000" w:rsidP="00000000" w:rsidRDefault="00000000" w:rsidRPr="00000000" w14:paraId="00000004">
      <w:pPr>
        <w:spacing w:after="2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Citations are on site plus my Claude log</w:t>
      </w:r>
      <w:hyperlink r:id="rId6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 https://claude.ai/share/8d1c9cbe-3e87-484e-bf4b-20fe55826e31</w:t>
        </w:r>
      </w:hyperlink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0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Optimum Frame Size Recommendation (4 pts)</w:t>
      </w:r>
    </w:p>
    <w:p w:rsidR="00000000" w:rsidDel="00000000" w:rsidP="00000000" w:rsidRDefault="00000000" w:rsidRPr="00000000" w14:paraId="00000006">
      <w:pPr>
        <w:spacing w:after="2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4k achieves &lt; 10% at 106 frames, which is the earliest out of the 4. The next best is 2k at 179, a 40.782% later achievement. If resources are tight, go with the 2k, otherwise, 4k is the recommendation. The other two end up exponentially increasing, a significant jump.</w:t>
      </w:r>
    </w:p>
    <w:p w:rsidR="00000000" w:rsidDel="00000000" w:rsidP="00000000" w:rsidRDefault="00000000" w:rsidRPr="00000000" w14:paraId="0000000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Frames Required to Achieve &lt; 10% Page-Fault Rate (4 pts)</w:t>
      </w:r>
    </w:p>
    <w:p w:rsidR="00000000" w:rsidDel="00000000" w:rsidP="00000000" w:rsidRDefault="00000000" w:rsidRPr="00000000" w14:paraId="00000008">
      <w:pPr>
        <w:spacing w:after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59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70"/>
        <w:gridCol w:w="1970"/>
        <w:gridCol w:w="1970"/>
        <w:tblGridChange w:id="0">
          <w:tblGrid>
            <w:gridCol w:w="1970"/>
            <w:gridCol w:w="1970"/>
            <w:gridCol w:w="197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31569f" w:space="0" w:sz="6" w:val="single"/>
              <w:left w:color="31569f" w:space="0" w:sz="6" w:val="single"/>
              <w:bottom w:color="31569f" w:space="0" w:sz="6" w:val="single"/>
              <w:right w:color="31569f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after="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Frame Size</w:t>
            </w:r>
          </w:p>
        </w:tc>
        <w:tc>
          <w:tcPr>
            <w:tcBorders>
              <w:top w:color="31569f" w:space="0" w:sz="6" w:val="single"/>
              <w:left w:color="31569f" w:space="0" w:sz="6" w:val="single"/>
              <w:bottom w:color="31569f" w:space="0" w:sz="6" w:val="single"/>
              <w:right w:color="31569f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Min Frames for &lt; 10%</w:t>
            </w:r>
          </w:p>
        </w:tc>
        <w:tc>
          <w:tcPr>
            <w:tcBorders>
              <w:top w:color="31569f" w:space="0" w:sz="6" w:val="single"/>
              <w:left w:color="31569f" w:space="0" w:sz="6" w:val="single"/>
              <w:bottom w:color="31569f" w:space="0" w:sz="6" w:val="single"/>
              <w:right w:color="31569f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Fault Rate at That Count</w:t>
            </w:r>
          </w:p>
        </w:tc>
      </w:tr>
      <w:tr>
        <w:trPr>
          <w:cantSplit w:val="0"/>
          <w:trHeight w:val="695" w:hRule="atLeast"/>
          <w:tblHeader w:val="0"/>
        </w:trPr>
        <w:tc>
          <w:tcPr>
            <w:tcBorders>
              <w:top w:color="31569f" w:space="0" w:sz="6" w:val="single"/>
              <w:left w:color="31569f" w:space="0" w:sz="6" w:val="single"/>
              <w:bottom w:color="31569f" w:space="0" w:sz="6" w:val="single"/>
              <w:right w:color="31569f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512 B</w:t>
            </w:r>
          </w:p>
        </w:tc>
        <w:tc>
          <w:tcPr>
            <w:tcBorders>
              <w:top w:color="31569f" w:space="0" w:sz="6" w:val="single"/>
              <w:left w:color="31569f" w:space="0" w:sz="6" w:val="single"/>
              <w:bottom w:color="31569f" w:space="0" w:sz="6" w:val="single"/>
              <w:right w:color="31569f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689</w:t>
            </w:r>
          </w:p>
        </w:tc>
        <w:tc>
          <w:tcPr>
            <w:tcBorders>
              <w:top w:color="31569f" w:space="0" w:sz="6" w:val="single"/>
              <w:left w:color="31569f" w:space="0" w:sz="6" w:val="single"/>
              <w:bottom w:color="31569f" w:space="0" w:sz="6" w:val="single"/>
              <w:right w:color="31569f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0.09996</w:t>
            </w:r>
          </w:p>
        </w:tc>
      </w:tr>
      <w:tr>
        <w:trPr>
          <w:cantSplit w:val="0"/>
          <w:trHeight w:val="680" w:hRule="atLeast"/>
          <w:tblHeader w:val="0"/>
        </w:trPr>
        <w:tc>
          <w:tcPr>
            <w:tcBorders>
              <w:top w:color="31569f" w:space="0" w:sz="6" w:val="single"/>
              <w:left w:color="31569f" w:space="0" w:sz="6" w:val="single"/>
              <w:bottom w:color="31569f" w:space="0" w:sz="6" w:val="single"/>
              <w:right w:color="31569f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 KB</w:t>
            </w:r>
          </w:p>
        </w:tc>
        <w:tc>
          <w:tcPr>
            <w:tcBorders>
              <w:top w:color="31569f" w:space="0" w:sz="6" w:val="single"/>
              <w:left w:color="31569f" w:space="0" w:sz="6" w:val="single"/>
              <w:bottom w:color="31569f" w:space="0" w:sz="6" w:val="single"/>
              <w:right w:color="31569f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318</w:t>
            </w:r>
          </w:p>
        </w:tc>
        <w:tc>
          <w:tcPr>
            <w:tcBorders>
              <w:top w:color="31569f" w:space="0" w:sz="6" w:val="single"/>
              <w:left w:color="31569f" w:space="0" w:sz="6" w:val="single"/>
              <w:bottom w:color="31569f" w:space="0" w:sz="6" w:val="single"/>
              <w:right w:color="31569f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0.099937</w:t>
            </w:r>
          </w:p>
        </w:tc>
      </w:tr>
      <w:tr>
        <w:trPr>
          <w:cantSplit w:val="0"/>
          <w:trHeight w:val="695" w:hRule="atLeast"/>
          <w:tblHeader w:val="0"/>
        </w:trPr>
        <w:tc>
          <w:tcPr>
            <w:tcBorders>
              <w:top w:color="31569f" w:space="0" w:sz="6" w:val="single"/>
              <w:left w:color="31569f" w:space="0" w:sz="6" w:val="single"/>
              <w:bottom w:color="31569f" w:space="0" w:sz="6" w:val="single"/>
              <w:right w:color="31569f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 KB</w:t>
            </w:r>
          </w:p>
        </w:tc>
        <w:tc>
          <w:tcPr>
            <w:tcBorders>
              <w:top w:color="31569f" w:space="0" w:sz="6" w:val="single"/>
              <w:left w:color="31569f" w:space="0" w:sz="6" w:val="single"/>
              <w:bottom w:color="31569f" w:space="0" w:sz="6" w:val="single"/>
              <w:right w:color="31569f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179</w:t>
            </w:r>
          </w:p>
        </w:tc>
        <w:tc>
          <w:tcPr>
            <w:tcBorders>
              <w:top w:color="31569f" w:space="0" w:sz="6" w:val="single"/>
              <w:left w:color="31569f" w:space="0" w:sz="6" w:val="single"/>
              <w:bottom w:color="31569f" w:space="0" w:sz="6" w:val="single"/>
              <w:right w:color="31569f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0.099777</w:t>
            </w:r>
          </w:p>
        </w:tc>
      </w:tr>
      <w:tr>
        <w:trPr>
          <w:cantSplit w:val="0"/>
          <w:trHeight w:val="695" w:hRule="atLeast"/>
          <w:tblHeader w:val="0"/>
        </w:trPr>
        <w:tc>
          <w:tcPr>
            <w:tcBorders>
              <w:top w:color="31569f" w:space="0" w:sz="6" w:val="single"/>
              <w:left w:color="31569f" w:space="0" w:sz="6" w:val="single"/>
              <w:bottom w:color="31569f" w:space="0" w:sz="6" w:val="single"/>
              <w:right w:color="31569f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 KB</w:t>
            </w:r>
          </w:p>
        </w:tc>
        <w:tc>
          <w:tcPr>
            <w:tcBorders>
              <w:top w:color="31569f" w:space="0" w:sz="6" w:val="single"/>
              <w:left w:color="31569f" w:space="0" w:sz="6" w:val="single"/>
              <w:bottom w:color="31569f" w:space="0" w:sz="6" w:val="single"/>
              <w:right w:color="31569f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106</w:t>
            </w:r>
          </w:p>
        </w:tc>
        <w:tc>
          <w:tcPr>
            <w:tcBorders>
              <w:top w:color="31569f" w:space="0" w:sz="6" w:val="single"/>
              <w:left w:color="31569f" w:space="0" w:sz="6" w:val="single"/>
              <w:bottom w:color="31569f" w:space="0" w:sz="6" w:val="single"/>
              <w:right w:color="31569f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0.099938</w:t>
            </w:r>
          </w:p>
        </w:tc>
      </w:tr>
    </w:tbl>
    <w:p w:rsidR="00000000" w:rsidDel="00000000" w:rsidP="00000000" w:rsidRDefault="00000000" w:rsidRPr="00000000" w14:paraId="0000001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Frames vs. Number of Page Faults — 4 charts (6 pts)</w:t>
      </w:r>
    </w:p>
    <w:p w:rsidR="00000000" w:rsidDel="00000000" w:rsidP="00000000" w:rsidRDefault="00000000" w:rsidRPr="00000000" w14:paraId="00000019">
      <w:pPr>
        <w:spacing w:after="12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512 B Frames — Page Faults (1.5 pts)</w:t>
      </w:r>
    </w:p>
    <w:p w:rsidR="00000000" w:rsidDel="00000000" w:rsidP="00000000" w:rsidRDefault="00000000" w:rsidRPr="00000000" w14:paraId="0000001B">
      <w:pPr>
        <w:spacing w:after="80" w:lineRule="auto"/>
        <w:jc w:val="center"/>
        <w:rPr>
          <w:b w:val="1"/>
          <w:bCs w:val="1"/>
          <w:i w:val="1"/>
          <w:iCs w:val="1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</w:rPr>
        <w:drawing>
          <wp:inline distB="114300" distT="114300" distL="114300" distR="114300">
            <wp:extent cx="2399952" cy="1828049"/>
            <wp:effectExtent b="0" l="0" r="0" t="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99952" cy="182804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 KB Frames — Page Faults (1.5 pts)</w:t>
      </w:r>
    </w:p>
    <w:p w:rsidR="00000000" w:rsidDel="00000000" w:rsidP="00000000" w:rsidRDefault="00000000" w:rsidRPr="00000000" w14:paraId="0000001D">
      <w:pPr>
        <w:spacing w:after="80" w:lineRule="auto"/>
        <w:jc w:val="center"/>
        <w:rPr>
          <w:b w:val="1"/>
          <w:bCs w:val="1"/>
          <w:i w:val="1"/>
          <w:iCs w:val="1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</w:rPr>
        <w:drawing>
          <wp:inline distB="114300" distT="114300" distL="114300" distR="114300">
            <wp:extent cx="2390427" cy="1780318"/>
            <wp:effectExtent b="0" l="0" r="0" t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90427" cy="178031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 KB Frames — Page Faults (1.5 pts)</w:t>
      </w:r>
    </w:p>
    <w:p w:rsidR="00000000" w:rsidDel="00000000" w:rsidP="00000000" w:rsidRDefault="00000000" w:rsidRPr="00000000" w14:paraId="0000001F">
      <w:pPr>
        <w:spacing w:after="80" w:lineRule="auto"/>
        <w:jc w:val="center"/>
        <w:rPr>
          <w:b w:val="1"/>
          <w:bCs w:val="1"/>
          <w:i w:val="1"/>
          <w:iCs w:val="1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</w:rPr>
        <w:drawing>
          <wp:inline distB="114300" distT="114300" distL="114300" distR="114300">
            <wp:extent cx="2380902" cy="1832144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80902" cy="183214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 KB Frames — Page Faults (1.5 pts)</w:t>
      </w:r>
    </w:p>
    <w:p w:rsidR="00000000" w:rsidDel="00000000" w:rsidP="00000000" w:rsidRDefault="00000000" w:rsidRPr="00000000" w14:paraId="00000021">
      <w:pPr>
        <w:spacing w:after="80" w:lineRule="auto"/>
        <w:jc w:val="center"/>
        <w:rPr>
          <w:b w:val="1"/>
          <w:bCs w:val="1"/>
          <w:i w:val="1"/>
          <w:iCs w:val="1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</w:rPr>
        <w:drawing>
          <wp:inline distB="114300" distT="114300" distL="114300" distR="114300">
            <wp:extent cx="2161827" cy="1712886"/>
            <wp:effectExtent b="0" l="0" r="0" t="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61827" cy="171288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 Frames vs. Page-Fault Rate — 4 charts (6 pts)</w:t>
      </w:r>
    </w:p>
    <w:p w:rsidR="00000000" w:rsidDel="00000000" w:rsidP="00000000" w:rsidRDefault="00000000" w:rsidRPr="00000000" w14:paraId="0000002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512 B Frames — Fault Rate (1.5 pts)</w:t>
      </w:r>
    </w:p>
    <w:p w:rsidR="00000000" w:rsidDel="00000000" w:rsidP="00000000" w:rsidRDefault="00000000" w:rsidRPr="00000000" w14:paraId="00000025">
      <w:pPr>
        <w:spacing w:after="80" w:lineRule="auto"/>
        <w:jc w:val="center"/>
        <w:rPr>
          <w:b w:val="1"/>
          <w:bCs w:val="1"/>
          <w:i w:val="1"/>
          <w:iCs w:val="1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</w:rPr>
        <w:drawing>
          <wp:inline distB="114300" distT="114300" distL="114300" distR="114300">
            <wp:extent cx="1880840" cy="1312037"/>
            <wp:effectExtent b="0" l="0" r="0" t="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80840" cy="131203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 KB Frames — Fault Rate (1.5 pts)</w:t>
      </w:r>
    </w:p>
    <w:p w:rsidR="00000000" w:rsidDel="00000000" w:rsidP="00000000" w:rsidRDefault="00000000" w:rsidRPr="00000000" w14:paraId="00000027">
      <w:pPr>
        <w:spacing w:after="80" w:lineRule="auto"/>
        <w:jc w:val="center"/>
        <w:rPr>
          <w:b w:val="1"/>
          <w:bCs w:val="1"/>
          <w:i w:val="1"/>
          <w:iCs w:val="1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</w:rPr>
        <w:drawing>
          <wp:inline distB="114300" distT="114300" distL="114300" distR="114300">
            <wp:extent cx="2185988" cy="1685032"/>
            <wp:effectExtent b="0" l="0" r="0" t="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85988" cy="168503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 KB Frames — Fault Rate (1.5 pts)</w:t>
      </w:r>
    </w:p>
    <w:p w:rsidR="00000000" w:rsidDel="00000000" w:rsidP="00000000" w:rsidRDefault="00000000" w:rsidRPr="00000000" w14:paraId="00000029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1990725" cy="1403298"/>
            <wp:effectExtent b="0" l="0" r="0" t="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90725" cy="140329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80" w:lineRule="auto"/>
        <w:rPr>
          <w:b w:val="1"/>
          <w:bCs w:val="1"/>
          <w:i w:val="1"/>
          <w:iCs w:val="1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 </w:t>
      </w:r>
    </w:p>
    <w:p w:rsidR="00000000" w:rsidDel="00000000" w:rsidP="00000000" w:rsidRDefault="00000000" w:rsidRPr="00000000" w14:paraId="0000002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 KB Frames — Fault Rate (1.5 pts)</w:t>
      </w:r>
    </w:p>
    <w:p w:rsidR="00000000" w:rsidDel="00000000" w:rsidP="00000000" w:rsidRDefault="00000000" w:rsidRPr="00000000" w14:paraId="0000002C">
      <w:pPr>
        <w:spacing w:after="80" w:lineRule="auto"/>
        <w:jc w:val="center"/>
        <w:rPr>
          <w:b w:val="1"/>
          <w:bCs w:val="1"/>
          <w:i w:val="1"/>
          <w:iCs w:val="1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</w:rPr>
        <w:drawing>
          <wp:inline distB="114300" distT="114300" distL="114300" distR="114300">
            <wp:extent cx="2214563" cy="1714157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14563" cy="171415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 Curve Shape and Working Set Analysis (5 pts)</w:t>
      </w:r>
    </w:p>
    <w:p w:rsidR="00000000" w:rsidDel="00000000" w:rsidP="00000000" w:rsidRDefault="00000000" w:rsidRPr="00000000" w14:paraId="0000002E">
      <w:pPr>
        <w:spacing w:after="2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The shape is asymptotic relative to the x-axis as it approaches infinite frames. The graphs start very high, miss-wise, then taper off. Beyond the inflection point, frames start to decrease returns.</w:t>
      </w:r>
    </w:p>
    <w:p w:rsidR="00000000" w:rsidDel="00000000" w:rsidP="00000000" w:rsidRDefault="00000000" w:rsidRPr="00000000" w14:paraId="0000002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6. Frame Size and Fault Rate Tradeoffs (5 pts)</w:t>
      </w:r>
    </w:p>
    <w:p w:rsidR="00000000" w:rsidDel="00000000" w:rsidP="00000000" w:rsidRDefault="00000000" w:rsidRPr="00000000" w14:paraId="00000030">
      <w:pPr>
        <w:spacing w:after="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Larger frames mean more address collisions, reducing the faults. With more memory allocation and utilization comes more efficient performance. </w:t>
      </w:r>
    </w:p>
    <w:p w:rsidR="00000000" w:rsidDel="00000000" w:rsidP="00000000" w:rsidRDefault="00000000" w:rsidRPr="00000000" w14:paraId="0000003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br w:type="textWrapping"/>
        <w:t xml:space="preserve"> Doc stmt: references are on site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4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hyperlink" Target="https://claude.ai/share/8d1c9cbe-3e87-484e-bf4b-20fe55826e31" TargetMode="External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