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B902" w14:textId="77777777" w:rsidR="00753925" w:rsidRPr="00753925" w:rsidRDefault="00753925" w:rsidP="00753925">
      <w:pPr>
        <w:spacing w:after="0" w:line="240" w:lineRule="auto"/>
        <w:rPr>
          <w:rFonts w:ascii="Source Sans Pro" w:eastAsia="Times New Roman" w:hAnsi="Source Sans Pro" w:cs="Times New Roman"/>
          <w:sz w:val="24"/>
          <w:szCs w:val="24"/>
        </w:rPr>
      </w:pPr>
      <w:r w:rsidRPr="00753925">
        <w:rPr>
          <w:rFonts w:ascii="Source Sans Pro" w:eastAsia="Times New Roman" w:hAnsi="Source Sans Pro" w:cs="Arial"/>
          <w:b/>
          <w:bCs/>
          <w:i/>
          <w:iCs/>
          <w:color w:val="000000"/>
          <w:sz w:val="24"/>
          <w:szCs w:val="24"/>
        </w:rPr>
        <w:t>Rates of Growth in Universal Health Coverage Service Coverage Index (UHC SCI) increase in PEPFAR supported countries</w:t>
      </w:r>
    </w:p>
    <w:p w14:paraId="48BE672E" w14:textId="77777777" w:rsidR="00753925" w:rsidRPr="00753925" w:rsidRDefault="00753925" w:rsidP="00753925">
      <w:pPr>
        <w:spacing w:after="0" w:line="240" w:lineRule="auto"/>
        <w:rPr>
          <w:rFonts w:ascii="Source Sans Pro" w:eastAsia="Times New Roman" w:hAnsi="Source Sans Pro" w:cs="Times New Roman"/>
        </w:rPr>
      </w:pPr>
    </w:p>
    <w:p w14:paraId="0B0BCDD4" w14:textId="722D7C90" w:rsidR="00753925" w:rsidRPr="00753925" w:rsidRDefault="00753925" w:rsidP="00753925">
      <w:pPr>
        <w:spacing w:after="0" w:line="240" w:lineRule="auto"/>
        <w:rPr>
          <w:rFonts w:ascii="Source Sans Pro" w:eastAsia="Times New Roman" w:hAnsi="Source Sans Pro" w:cs="Arial"/>
          <w:color w:val="000000"/>
        </w:rPr>
      </w:pPr>
      <w:r w:rsidRPr="00753925">
        <w:rPr>
          <w:rFonts w:ascii="Source Sans Pro" w:eastAsia="Times New Roman" w:hAnsi="Source Sans Pro" w:cs="Arial"/>
          <w:color w:val="000000"/>
        </w:rPr>
        <w:t>In a review of the</w:t>
      </w:r>
      <w:r w:rsidRPr="00753925">
        <w:rPr>
          <w:rFonts w:ascii="Source Sans Pro" w:eastAsia="Times New Roman" w:hAnsi="Source Sans Pro" w:cs="Arial"/>
          <w:color w:val="000000"/>
        </w:rPr>
        <w:t xml:space="preserve"> </w:t>
      </w:r>
      <w:proofErr w:type="gramStart"/>
      <w:r w:rsidRPr="00753925">
        <w:rPr>
          <w:rFonts w:ascii="Source Sans Pro" w:eastAsia="Times New Roman" w:hAnsi="Source Sans Pro" w:cs="Arial"/>
          <w:color w:val="000000"/>
        </w:rPr>
        <w:t>population-weighted</w:t>
      </w:r>
      <w:proofErr w:type="gramEnd"/>
      <w:r w:rsidRPr="00753925">
        <w:rPr>
          <w:rFonts w:ascii="Source Sans Pro" w:eastAsia="Times New Roman" w:hAnsi="Source Sans Pro" w:cs="Arial"/>
          <w:color w:val="000000"/>
        </w:rPr>
        <w:t xml:space="preserve"> average UHC SCI within low-income countries within Sub-Saharan Africa, the average UHC SCI increased between 2000 to 2019. When disaggregated by PEPFAR support status, countries supported by PEPFAR saw higher rates of increase in UHC SCI when compared to countries not supported by PEPFAR.</w:t>
      </w:r>
      <w:r w:rsidR="00DD0CB9">
        <w:rPr>
          <w:rFonts w:ascii="Source Sans Pro" w:eastAsia="Times New Roman" w:hAnsi="Source Sans Pro" w:cs="Arial"/>
          <w:color w:val="000000"/>
        </w:rPr>
        <w:t xml:space="preserve"> </w:t>
      </w:r>
      <w:r w:rsidRPr="00753925">
        <w:rPr>
          <w:rFonts w:ascii="Source Sans Pro" w:eastAsia="Times New Roman" w:hAnsi="Source Sans Pro" w:cs="Times New Roman"/>
          <w:color w:val="000000"/>
        </w:rPr>
        <w:t xml:space="preserve">Our findings are supported by the WHO’s “Tracking Universal Health Coverage </w:t>
      </w:r>
      <w:r w:rsidR="00DD0CB9">
        <w:rPr>
          <w:rFonts w:ascii="Source Sans Pro" w:eastAsia="Times New Roman" w:hAnsi="Source Sans Pro" w:cs="Times New Roman"/>
          <w:color w:val="000000"/>
        </w:rPr>
        <w:t>in t</w:t>
      </w:r>
      <w:r w:rsidRPr="00753925">
        <w:rPr>
          <w:rFonts w:ascii="Source Sans Pro" w:eastAsia="Times New Roman" w:hAnsi="Source Sans Pro" w:cs="Times New Roman"/>
          <w:color w:val="000000"/>
        </w:rPr>
        <w:t>he WHO African Region, 2022” which reported growth in universal health service coverage index across all World Bank income groups with all groups reporting increases between 20-25 points overall</w:t>
      </w:r>
      <w:sdt>
        <w:sdtPr>
          <w:rPr>
            <w:rFonts w:ascii="Source Sans Pro" w:eastAsia="Times New Roman" w:hAnsi="Source Sans Pro" w:cs="Times New Roman"/>
            <w:color w:val="000000"/>
            <w:vertAlign w:val="superscript"/>
          </w:rPr>
          <w:tag w:val="MENDELEY_CITATION_v3_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"/>
          <w:id w:val="434631179"/>
          <w:placeholder>
            <w:docPart w:val="DefaultPlaceholder_-1854013440"/>
          </w:placeholder>
        </w:sdtPr>
        <w:sdtContent>
          <w:r w:rsidR="00DD0CB9" w:rsidRPr="00DD0CB9">
            <w:rPr>
              <w:rFonts w:ascii="Source Sans Pro" w:eastAsia="Times New Roman" w:hAnsi="Source Sans Pro" w:cs="Times New Roman"/>
              <w:color w:val="000000"/>
              <w:vertAlign w:val="superscript"/>
            </w:rPr>
            <w:t>1</w:t>
          </w:r>
        </w:sdtContent>
      </w:sdt>
      <w:r>
        <w:rPr>
          <w:rFonts w:ascii="Source Sans Pro" w:eastAsia="Times New Roman" w:hAnsi="Source Sans Pro" w:cs="Times New Roman"/>
          <w:color w:val="000000"/>
        </w:rPr>
        <w:t>.</w:t>
      </w:r>
    </w:p>
    <w:p w14:paraId="67B59BC6" w14:textId="77777777" w:rsidR="00753925" w:rsidRPr="00753925" w:rsidRDefault="00753925" w:rsidP="00753925">
      <w:pPr>
        <w:spacing w:after="0" w:line="240" w:lineRule="auto"/>
        <w:rPr>
          <w:rFonts w:ascii="Times New Roman" w:eastAsia="Times New Roman" w:hAnsi="Times New Roman" w:cs="Times New Roman"/>
          <w:sz w:val="24"/>
          <w:szCs w:val="24"/>
        </w:rPr>
      </w:pPr>
    </w:p>
    <w:p w14:paraId="3D25DCDD" w14:textId="77777777"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Source Sans Pro" w:eastAsia="Times New Roman" w:hAnsi="Source Sans Pro" w:cs="Times New Roman"/>
          <w:color w:val="000000"/>
          <w:sz w:val="20"/>
          <w:szCs w:val="20"/>
        </w:rPr>
        <w:t xml:space="preserve">RATE OF GROWTH IN </w:t>
      </w:r>
      <w:r w:rsidRPr="00753925">
        <w:rPr>
          <w:rFonts w:ascii="Source Sans Pro" w:eastAsia="Times New Roman" w:hAnsi="Source Sans Pro" w:cs="Times New Roman"/>
          <w:b/>
          <w:bCs/>
          <w:color w:val="000000"/>
          <w:sz w:val="20"/>
          <w:szCs w:val="20"/>
        </w:rPr>
        <w:t xml:space="preserve">POPULATION–WEIGHTED HEALTH SERVICE COVERAGE INDEX </w:t>
      </w:r>
      <w:r w:rsidRPr="00753925">
        <w:rPr>
          <w:rFonts w:ascii="Source Sans Pro" w:eastAsia="Times New Roman" w:hAnsi="Source Sans Pro" w:cs="Times New Roman"/>
          <w:color w:val="000000"/>
          <w:sz w:val="20"/>
          <w:szCs w:val="20"/>
        </w:rPr>
        <w:t xml:space="preserve">IN </w:t>
      </w:r>
      <w:r w:rsidRPr="00753925">
        <w:rPr>
          <w:rFonts w:ascii="Source Sans Pro" w:eastAsia="Times New Roman" w:hAnsi="Source Sans Pro" w:cs="Times New Roman"/>
          <w:color w:val="2057A7"/>
          <w:sz w:val="20"/>
          <w:szCs w:val="20"/>
        </w:rPr>
        <w:t>PEPFAR SUPPORTED</w:t>
      </w:r>
      <w:r w:rsidRPr="00753925">
        <w:rPr>
          <w:rFonts w:ascii="Source Sans Pro" w:eastAsia="Times New Roman" w:hAnsi="Source Sans Pro" w:cs="Times New Roman"/>
          <w:color w:val="000000"/>
          <w:sz w:val="20"/>
          <w:szCs w:val="20"/>
        </w:rPr>
        <w:t xml:space="preserve"> LOWER INCOME COUNTRIES IN SUB-SAHARAN AFRICAN</w:t>
      </w:r>
      <w:r w:rsidRPr="00753925">
        <w:rPr>
          <w:rFonts w:ascii="Source Sans Pro" w:eastAsia="Times New Roman" w:hAnsi="Source Sans Pro" w:cs="Times New Roman"/>
          <w:b/>
          <w:bCs/>
          <w:color w:val="000000"/>
          <w:sz w:val="20"/>
          <w:szCs w:val="20"/>
        </w:rPr>
        <w:t xml:space="preserve"> </w:t>
      </w:r>
      <w:r w:rsidRPr="00753925">
        <w:rPr>
          <w:rFonts w:ascii="Source Sans Pro" w:eastAsia="Times New Roman" w:hAnsi="Source Sans Pro" w:cs="Times New Roman"/>
          <w:color w:val="000000"/>
          <w:sz w:val="20"/>
          <w:szCs w:val="20"/>
        </w:rPr>
        <w:t xml:space="preserve">OUTPACED THAT </w:t>
      </w:r>
      <w:proofErr w:type="gramStart"/>
      <w:r w:rsidRPr="00753925">
        <w:rPr>
          <w:rFonts w:ascii="Source Sans Pro" w:eastAsia="Times New Roman" w:hAnsi="Source Sans Pro" w:cs="Times New Roman"/>
          <w:color w:val="000000"/>
          <w:sz w:val="20"/>
          <w:szCs w:val="20"/>
        </w:rPr>
        <w:t xml:space="preserve">OF  </w:t>
      </w:r>
      <w:r w:rsidRPr="00753925">
        <w:rPr>
          <w:rFonts w:ascii="Source Sans Pro" w:eastAsia="Times New Roman" w:hAnsi="Source Sans Pro" w:cs="Times New Roman"/>
          <w:color w:val="888888"/>
          <w:sz w:val="20"/>
          <w:szCs w:val="20"/>
        </w:rPr>
        <w:t>NON</w:t>
      </w:r>
      <w:proofErr w:type="gramEnd"/>
      <w:r w:rsidRPr="00753925">
        <w:rPr>
          <w:rFonts w:ascii="Source Sans Pro" w:eastAsia="Times New Roman" w:hAnsi="Source Sans Pro" w:cs="Times New Roman"/>
          <w:color w:val="888888"/>
          <w:sz w:val="20"/>
          <w:szCs w:val="20"/>
        </w:rPr>
        <w:t>-PEPFAR SUPPORTED</w:t>
      </w:r>
      <w:r w:rsidRPr="00753925">
        <w:rPr>
          <w:rFonts w:ascii="Source Sans Pro" w:eastAsia="Times New Roman" w:hAnsi="Source Sans Pro" w:cs="Times New Roman"/>
          <w:color w:val="000000"/>
          <w:sz w:val="20"/>
          <w:szCs w:val="20"/>
        </w:rPr>
        <w:t xml:space="preserve"> COUNTRIES</w:t>
      </w:r>
    </w:p>
    <w:p w14:paraId="7096CD45" w14:textId="68E0F25C"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Arial" w:eastAsia="Times New Roman" w:hAnsi="Arial" w:cs="Arial"/>
          <w:noProof/>
          <w:color w:val="000000"/>
          <w:bdr w:val="none" w:sz="0" w:space="0" w:color="auto" w:frame="1"/>
        </w:rPr>
        <w:drawing>
          <wp:inline distT="0" distB="0" distL="0" distR="0" wp14:anchorId="444D1B9F" wp14:editId="5E9A84AE">
            <wp:extent cx="58483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8350" cy="2400300"/>
                    </a:xfrm>
                    <a:prstGeom prst="rect">
                      <a:avLst/>
                    </a:prstGeom>
                    <a:noFill/>
                    <a:ln>
                      <a:noFill/>
                    </a:ln>
                  </pic:spPr>
                </pic:pic>
              </a:graphicData>
            </a:graphic>
          </wp:inline>
        </w:drawing>
      </w:r>
    </w:p>
    <w:p w14:paraId="41BD32AD" w14:textId="77777777" w:rsidR="00753925" w:rsidRDefault="00753925" w:rsidP="00753925">
      <w:pPr>
        <w:spacing w:after="0" w:line="240" w:lineRule="auto"/>
        <w:rPr>
          <w:rFonts w:ascii="Source Sans Pro" w:eastAsia="Times New Roman" w:hAnsi="Source Sans Pro" w:cs="Arial"/>
          <w:color w:val="000000"/>
          <w:sz w:val="24"/>
          <w:szCs w:val="24"/>
        </w:rPr>
      </w:pPr>
    </w:p>
    <w:p w14:paraId="49AF057E" w14:textId="77777777" w:rsidR="00DD0CB9" w:rsidRDefault="00DD0CB9" w:rsidP="00753925">
      <w:pPr>
        <w:spacing w:after="0" w:line="240" w:lineRule="auto"/>
        <w:rPr>
          <w:rFonts w:ascii="Source Sans Pro" w:eastAsia="Times New Roman" w:hAnsi="Source Sans Pro" w:cs="Arial"/>
          <w:color w:val="000000"/>
          <w:sz w:val="24"/>
          <w:szCs w:val="24"/>
        </w:rPr>
      </w:pPr>
    </w:p>
    <w:p w14:paraId="644DB8BD" w14:textId="23A9F1D4" w:rsidR="00753925" w:rsidRPr="00753925" w:rsidRDefault="00753925" w:rsidP="00753925">
      <w:pPr>
        <w:spacing w:after="0" w:line="240" w:lineRule="auto"/>
        <w:rPr>
          <w:rFonts w:ascii="Source Sans Pro" w:eastAsia="Times New Roman" w:hAnsi="Source Sans Pro" w:cs="Times New Roman"/>
          <w:sz w:val="24"/>
          <w:szCs w:val="24"/>
        </w:rPr>
      </w:pPr>
      <w:r w:rsidRPr="00753925">
        <w:rPr>
          <w:rFonts w:ascii="Source Sans Pro" w:eastAsia="Times New Roman" w:hAnsi="Source Sans Pro" w:cs="Arial"/>
          <w:color w:val="000000"/>
          <w:sz w:val="24"/>
          <w:szCs w:val="24"/>
        </w:rPr>
        <w:t>The population-weighted average universal health service coverage index within low-income countries in Sub-Saharan Africa was 20 in 2000. By 2019, this had risen to 42 within countries supported by PEPFAR (Togo, South Sudan, Sierra Leone, Rwanda, Mozambique, Mali, Malawi, Liberia, Ethiopia, Democratic Republic of the Congo, Burundi, Burkina Faso, Uganda) and rose to 37 in countries which are not supported by PEPFAR (Central African Republic, Chad, Gambia, Guinea, Madagascar, Niger, Somalia, Sudan).</w:t>
      </w:r>
    </w:p>
    <w:p w14:paraId="14B5216D" w14:textId="77777777" w:rsidR="00753925" w:rsidRPr="00753925" w:rsidRDefault="00753925" w:rsidP="00753925">
      <w:pPr>
        <w:spacing w:after="0" w:line="240" w:lineRule="auto"/>
        <w:rPr>
          <w:rFonts w:ascii="Times New Roman" w:eastAsia="Times New Roman" w:hAnsi="Times New Roman" w:cs="Times New Roman"/>
          <w:sz w:val="24"/>
          <w:szCs w:val="24"/>
        </w:rPr>
      </w:pPr>
    </w:p>
    <w:p w14:paraId="5DF33F2B" w14:textId="387C1850" w:rsidR="00753925" w:rsidRDefault="00DD0CB9" w:rsidP="00753925">
      <w:pPr>
        <w:spacing w:after="0" w:line="240" w:lineRule="auto"/>
        <w:rPr>
          <w:rFonts w:ascii="Source Sans Pro" w:eastAsia="Times New Roman" w:hAnsi="Source Sans Pro" w:cs="Times New Roman"/>
          <w:sz w:val="24"/>
          <w:szCs w:val="24"/>
        </w:rPr>
      </w:pPr>
      <w:r>
        <w:rPr>
          <w:rFonts w:ascii="Source Sans Pro" w:eastAsia="Times New Roman" w:hAnsi="Source Sans Pro" w:cs="Times New Roman"/>
          <w:sz w:val="24"/>
          <w:szCs w:val="24"/>
        </w:rPr>
        <w:t xml:space="preserve">A similar pattern was observed within the UHC SCI infectious disease subindex which </w:t>
      </w:r>
    </w:p>
    <w:p w14:paraId="0976EDCA" w14:textId="328D0CB1" w:rsidR="00DD0CB9" w:rsidRDefault="00DD0CB9" w:rsidP="00753925">
      <w:pPr>
        <w:spacing w:after="0" w:line="240" w:lineRule="auto"/>
        <w:rPr>
          <w:rFonts w:ascii="Source Sans Pro" w:eastAsia="Times New Roman" w:hAnsi="Source Sans Pro" w:cs="Times New Roman"/>
          <w:sz w:val="24"/>
          <w:szCs w:val="24"/>
        </w:rPr>
      </w:pPr>
    </w:p>
    <w:p w14:paraId="682C9F84" w14:textId="12F07428" w:rsidR="00DD0CB9" w:rsidRDefault="00DD0CB9" w:rsidP="00753925">
      <w:pPr>
        <w:spacing w:after="0" w:line="240" w:lineRule="auto"/>
        <w:rPr>
          <w:rFonts w:ascii="Source Sans Pro" w:eastAsia="Times New Roman" w:hAnsi="Source Sans Pro" w:cs="Times New Roman"/>
          <w:sz w:val="24"/>
          <w:szCs w:val="24"/>
        </w:rPr>
      </w:pPr>
    </w:p>
    <w:p w14:paraId="2DA4D6E8" w14:textId="27D55AD9" w:rsidR="00DD0CB9" w:rsidRDefault="00DD0CB9" w:rsidP="00753925">
      <w:pPr>
        <w:spacing w:after="0" w:line="240" w:lineRule="auto"/>
        <w:rPr>
          <w:rFonts w:ascii="Source Sans Pro" w:eastAsia="Times New Roman" w:hAnsi="Source Sans Pro" w:cs="Times New Roman"/>
          <w:sz w:val="24"/>
          <w:szCs w:val="24"/>
        </w:rPr>
      </w:pPr>
    </w:p>
    <w:p w14:paraId="3F0B0522" w14:textId="24D0BC13" w:rsidR="00DD0CB9" w:rsidRDefault="00DD0CB9" w:rsidP="00753925">
      <w:pPr>
        <w:spacing w:after="0" w:line="240" w:lineRule="auto"/>
        <w:rPr>
          <w:rFonts w:ascii="Source Sans Pro" w:eastAsia="Times New Roman" w:hAnsi="Source Sans Pro" w:cs="Times New Roman"/>
          <w:sz w:val="24"/>
          <w:szCs w:val="24"/>
        </w:rPr>
      </w:pPr>
    </w:p>
    <w:p w14:paraId="76CBECC1" w14:textId="0846AFBD" w:rsidR="00DD0CB9" w:rsidRDefault="00DD0CB9" w:rsidP="00753925">
      <w:pPr>
        <w:spacing w:after="0" w:line="240" w:lineRule="auto"/>
        <w:rPr>
          <w:rFonts w:ascii="Source Sans Pro" w:eastAsia="Times New Roman" w:hAnsi="Source Sans Pro" w:cs="Times New Roman"/>
          <w:sz w:val="24"/>
          <w:szCs w:val="24"/>
        </w:rPr>
      </w:pPr>
    </w:p>
    <w:p w14:paraId="1AD09072" w14:textId="77777777" w:rsidR="00DD0CB9" w:rsidRPr="00753925" w:rsidRDefault="00DD0CB9" w:rsidP="00753925">
      <w:pPr>
        <w:spacing w:after="0" w:line="240" w:lineRule="auto"/>
        <w:rPr>
          <w:rFonts w:ascii="Source Sans Pro" w:eastAsia="Times New Roman" w:hAnsi="Source Sans Pro" w:cs="Times New Roman"/>
          <w:sz w:val="24"/>
          <w:szCs w:val="24"/>
        </w:rPr>
      </w:pPr>
    </w:p>
    <w:p w14:paraId="57CB405E" w14:textId="77777777"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Source Sans Pro" w:eastAsia="Times New Roman" w:hAnsi="Source Sans Pro" w:cs="Times New Roman"/>
          <w:color w:val="000000"/>
          <w:sz w:val="20"/>
          <w:szCs w:val="20"/>
        </w:rPr>
        <w:lastRenderedPageBreak/>
        <w:t>RATE OF GROWTH IN</w:t>
      </w:r>
      <w:r w:rsidRPr="00753925">
        <w:rPr>
          <w:rFonts w:ascii="Source Sans Pro" w:eastAsia="Times New Roman" w:hAnsi="Source Sans Pro" w:cs="Times New Roman"/>
          <w:b/>
          <w:bCs/>
          <w:color w:val="000000"/>
          <w:sz w:val="20"/>
          <w:szCs w:val="20"/>
        </w:rPr>
        <w:t xml:space="preserve"> POPULATION WEIGHTED HEALTH SERVICE COVERAGE INDEX (INFECTIOUS DISEASE SUB-INDEX)</w:t>
      </w:r>
      <w:r w:rsidRPr="00753925">
        <w:rPr>
          <w:rFonts w:ascii="Source Sans Pro" w:eastAsia="Times New Roman" w:hAnsi="Source Sans Pro" w:cs="Times New Roman"/>
          <w:color w:val="000000"/>
          <w:sz w:val="20"/>
          <w:szCs w:val="20"/>
        </w:rPr>
        <w:t xml:space="preserve"> IN </w:t>
      </w:r>
      <w:r w:rsidRPr="00753925">
        <w:rPr>
          <w:rFonts w:ascii="Source Sans Pro" w:eastAsia="Times New Roman" w:hAnsi="Source Sans Pro" w:cs="Times New Roman"/>
          <w:color w:val="2057A7"/>
          <w:sz w:val="20"/>
          <w:szCs w:val="20"/>
        </w:rPr>
        <w:t>PEPFAR SUPPORTED</w:t>
      </w:r>
      <w:r w:rsidRPr="00753925">
        <w:rPr>
          <w:rFonts w:ascii="Source Sans Pro" w:eastAsia="Times New Roman" w:hAnsi="Source Sans Pro" w:cs="Times New Roman"/>
          <w:color w:val="202020"/>
          <w:sz w:val="20"/>
          <w:szCs w:val="20"/>
        </w:rPr>
        <w:t xml:space="preserve"> </w:t>
      </w:r>
      <w:r w:rsidRPr="00753925">
        <w:rPr>
          <w:rFonts w:ascii="Source Sans Pro" w:eastAsia="Times New Roman" w:hAnsi="Source Sans Pro" w:cs="Times New Roman"/>
          <w:color w:val="000000"/>
          <w:sz w:val="20"/>
          <w:szCs w:val="20"/>
        </w:rPr>
        <w:t xml:space="preserve">LOWER INCOME COUNTRIES IN SUB-SAHARAN AFRICAN </w:t>
      </w:r>
      <w:r w:rsidRPr="00753925">
        <w:rPr>
          <w:rFonts w:ascii="Source Sans Pro" w:eastAsia="Times New Roman" w:hAnsi="Source Sans Pro" w:cs="Times New Roman"/>
          <w:color w:val="202020"/>
          <w:sz w:val="20"/>
          <w:szCs w:val="20"/>
        </w:rPr>
        <w:t xml:space="preserve">OUTPACES THAT OF </w:t>
      </w:r>
      <w:r w:rsidRPr="00753925">
        <w:rPr>
          <w:rFonts w:ascii="Source Sans Pro" w:eastAsia="Times New Roman" w:hAnsi="Source Sans Pro" w:cs="Times New Roman"/>
          <w:color w:val="888888"/>
          <w:sz w:val="20"/>
          <w:szCs w:val="20"/>
        </w:rPr>
        <w:t>NON-PEPFAR SUPPORTED</w:t>
      </w:r>
      <w:r w:rsidRPr="00753925">
        <w:rPr>
          <w:rFonts w:ascii="Source Sans Pro" w:eastAsia="Times New Roman" w:hAnsi="Source Sans Pro" w:cs="Times New Roman"/>
          <w:color w:val="202020"/>
          <w:sz w:val="20"/>
          <w:szCs w:val="20"/>
        </w:rPr>
        <w:t xml:space="preserve"> COUNTRIES</w:t>
      </w:r>
    </w:p>
    <w:p w14:paraId="2B7137A2" w14:textId="6D1E8113"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Source Sans Pro" w:eastAsia="Times New Roman" w:hAnsi="Source Sans Pro" w:cs="Times New Roman"/>
          <w:noProof/>
          <w:color w:val="202020"/>
          <w:sz w:val="20"/>
          <w:szCs w:val="20"/>
          <w:bdr w:val="none" w:sz="0" w:space="0" w:color="auto" w:frame="1"/>
        </w:rPr>
        <w:drawing>
          <wp:inline distT="0" distB="0" distL="0" distR="0" wp14:anchorId="5D29813F" wp14:editId="5EF4B707">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1700164" w14:textId="77777777"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Arial" w:eastAsia="Times New Roman" w:hAnsi="Arial" w:cs="Arial"/>
          <w:color w:val="000000"/>
        </w:rPr>
        <w:t>Within the infectious disease sub-index, the population weighted universal health service coverage index was 5 in 2000 and by 2019, this had risen to 44 within countries supported by PEPFAR (Togo, South Sudan, Sierra Leone, Rwanda, Mozambique, Mali, Malawi, Liberia, Ethiopia, Democratic Republic of the Congo, Burundi, Burkina Faso, Uganda) and rose to 38 in countries which are not supported by PEPFAR (Central African Republic, Chad, Gambia, Guinea, Madagascar, Niger, Somalia, Sudan).</w:t>
      </w:r>
    </w:p>
    <w:p w14:paraId="30F2345E" w14:textId="77777777" w:rsidR="00753925" w:rsidRPr="00753925" w:rsidRDefault="00753925" w:rsidP="00753925">
      <w:pPr>
        <w:spacing w:after="240" w:line="240" w:lineRule="auto"/>
        <w:rPr>
          <w:rFonts w:ascii="Times New Roman" w:eastAsia="Times New Roman" w:hAnsi="Times New Roman" w:cs="Times New Roman"/>
          <w:sz w:val="24"/>
          <w:szCs w:val="24"/>
        </w:rPr>
      </w:pP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r w:rsidRPr="00753925">
        <w:rPr>
          <w:rFonts w:ascii="Times New Roman" w:eastAsia="Times New Roman" w:hAnsi="Times New Roman" w:cs="Times New Roman"/>
          <w:sz w:val="24"/>
          <w:szCs w:val="24"/>
        </w:rPr>
        <w:br/>
      </w:r>
    </w:p>
    <w:p w14:paraId="56CFC839" w14:textId="77777777"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Source Sans Pro" w:eastAsia="Times New Roman" w:hAnsi="Source Sans Pro" w:cs="Times New Roman"/>
          <w:b/>
          <w:bCs/>
          <w:color w:val="000000"/>
          <w:sz w:val="20"/>
          <w:szCs w:val="20"/>
        </w:rPr>
        <w:t>POPULATION WEIGHTED HEALTH SERVICE COVERAGE INDEX (CAPACITY AND ACCESS SUB-INDEX)</w:t>
      </w:r>
      <w:r w:rsidRPr="00753925">
        <w:rPr>
          <w:rFonts w:ascii="Source Sans Pro" w:eastAsia="Times New Roman" w:hAnsi="Source Sans Pro" w:cs="Times New Roman"/>
          <w:color w:val="000000"/>
          <w:sz w:val="20"/>
          <w:szCs w:val="20"/>
        </w:rPr>
        <w:t xml:space="preserve"> IN </w:t>
      </w:r>
      <w:r w:rsidRPr="00753925">
        <w:rPr>
          <w:rFonts w:ascii="Source Sans Pro" w:eastAsia="Times New Roman" w:hAnsi="Source Sans Pro" w:cs="Times New Roman"/>
          <w:color w:val="2057A7"/>
          <w:sz w:val="20"/>
          <w:szCs w:val="20"/>
        </w:rPr>
        <w:t>PEPFAR</w:t>
      </w:r>
      <w:r w:rsidRPr="00753925">
        <w:rPr>
          <w:rFonts w:ascii="Source Sans Pro" w:eastAsia="Times New Roman" w:hAnsi="Source Sans Pro" w:cs="Times New Roman"/>
          <w:color w:val="000000"/>
          <w:sz w:val="20"/>
          <w:szCs w:val="20"/>
        </w:rPr>
        <w:t xml:space="preserve"> SUPPORTED LOWER INCOME SUB SAHARAN AFRICAN COUNTRIES REACHES THAT OF </w:t>
      </w:r>
      <w:r w:rsidRPr="00753925">
        <w:rPr>
          <w:rFonts w:ascii="Source Sans Pro" w:eastAsia="Times New Roman" w:hAnsi="Source Sans Pro" w:cs="Times New Roman"/>
          <w:color w:val="888888"/>
          <w:sz w:val="20"/>
          <w:szCs w:val="20"/>
        </w:rPr>
        <w:t>NON-PEPFAR</w:t>
      </w:r>
      <w:r w:rsidRPr="00753925">
        <w:rPr>
          <w:rFonts w:ascii="Source Sans Pro" w:eastAsia="Times New Roman" w:hAnsi="Source Sans Pro" w:cs="Times New Roman"/>
          <w:color w:val="000000"/>
          <w:sz w:val="20"/>
          <w:szCs w:val="20"/>
        </w:rPr>
        <w:t xml:space="preserve"> SUPPORTED COUNTRIES</w:t>
      </w:r>
    </w:p>
    <w:p w14:paraId="7C4116E2" w14:textId="4D3140AF"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Arial" w:eastAsia="Times New Roman" w:hAnsi="Arial" w:cs="Arial"/>
          <w:noProof/>
          <w:color w:val="000000"/>
          <w:bdr w:val="none" w:sz="0" w:space="0" w:color="auto" w:frame="1"/>
        </w:rPr>
        <w:lastRenderedPageBreak/>
        <w:drawing>
          <wp:inline distT="0" distB="0" distL="0" distR="0" wp14:anchorId="1C50299A" wp14:editId="72D76B03">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817D6AF" w14:textId="77777777" w:rsidR="00753925" w:rsidRPr="00753925" w:rsidRDefault="00753925" w:rsidP="00753925">
      <w:pPr>
        <w:spacing w:after="0" w:line="240" w:lineRule="auto"/>
        <w:rPr>
          <w:rFonts w:ascii="Times New Roman" w:eastAsia="Times New Roman" w:hAnsi="Times New Roman" w:cs="Times New Roman"/>
          <w:sz w:val="24"/>
          <w:szCs w:val="24"/>
        </w:rPr>
      </w:pPr>
    </w:p>
    <w:p w14:paraId="7593D7B4" w14:textId="77777777" w:rsidR="00753925" w:rsidRPr="00753925" w:rsidRDefault="00753925" w:rsidP="00753925">
      <w:pPr>
        <w:spacing w:after="0" w:line="240" w:lineRule="auto"/>
        <w:rPr>
          <w:rFonts w:ascii="Times New Roman" w:eastAsia="Times New Roman" w:hAnsi="Times New Roman" w:cs="Times New Roman"/>
          <w:sz w:val="24"/>
          <w:szCs w:val="24"/>
        </w:rPr>
      </w:pPr>
      <w:r w:rsidRPr="00753925">
        <w:rPr>
          <w:rFonts w:ascii="Arial" w:eastAsia="Times New Roman" w:hAnsi="Arial" w:cs="Arial"/>
          <w:color w:val="000000"/>
        </w:rPr>
        <w:t>Within the capacity and access sub-index, the population weighted universal health service coverage index was 16 within countries supported by PEPFAR (Togo, South Sudan, Sierra Leone, Rwanda, Mozambique, Mali, Malawi, Liberia, Ethiopia, Democratic Republic of the Congo, Burundi, Burkina Faso, Uganda) in 2000. By 2009, it had risen to 19 to match that of countries which are not supported by PEPFAR (Central African Republic, Chad, Gambia, Guinea, Madagascar, Niger, Somalia, Sudan).</w:t>
      </w:r>
    </w:p>
    <w:p w14:paraId="18144241" w14:textId="2D18523D" w:rsidR="00BB1984" w:rsidRDefault="00BB1984"/>
    <w:sdt>
      <w:sdtPr>
        <w:tag w:val="MENDELEY_BIBLIOGRAPHY"/>
        <w:id w:val="1631823528"/>
        <w:placeholder>
          <w:docPart w:val="DefaultPlaceholder_-1854013440"/>
        </w:placeholder>
      </w:sdtPr>
      <w:sdtContent>
        <w:p w14:paraId="0B7B57EB" w14:textId="2A0EC482" w:rsidR="00DD0CB9" w:rsidRDefault="00DD0CB9">
          <w:pPr>
            <w:autoSpaceDE w:val="0"/>
            <w:autoSpaceDN w:val="0"/>
            <w:ind w:hanging="640"/>
            <w:divId w:val="716928111"/>
            <w:rPr>
              <w:rFonts w:eastAsia="Times New Roman"/>
              <w:sz w:val="24"/>
              <w:szCs w:val="24"/>
            </w:rPr>
          </w:pPr>
          <w:r>
            <w:rPr>
              <w:rFonts w:eastAsia="Times New Roman"/>
            </w:rPr>
            <w:t xml:space="preserve">1. </w:t>
          </w:r>
          <w:r>
            <w:rPr>
              <w:rFonts w:eastAsia="Times New Roman"/>
            </w:rPr>
            <w:tab/>
            <w:t xml:space="preserve">World Health Organization Regional Office for Africa. Tracking Universal Health Coverage in the WHO African Region, 2022. </w:t>
          </w:r>
          <w:r>
            <w:rPr>
              <w:rFonts w:eastAsia="Times New Roman"/>
              <w:i/>
              <w:iCs/>
            </w:rPr>
            <w:t>World Health Organization Regional Office for Africa</w:t>
          </w:r>
          <w:r>
            <w:rPr>
              <w:rFonts w:eastAsia="Times New Roman"/>
            </w:rPr>
            <w:t>. Accessed August 17, 2022. https://apps.who.int/iris/bitstream/handle/10665/361229/9789290234760-eng.pdf</w:t>
          </w:r>
        </w:p>
        <w:p w14:paraId="1917AEC0" w14:textId="15E88D1E" w:rsidR="00DD0CB9" w:rsidRDefault="00DD0CB9">
          <w:r>
            <w:rPr>
              <w:rFonts w:eastAsia="Times New Roman"/>
            </w:rPr>
            <w:t> </w:t>
          </w:r>
        </w:p>
      </w:sdtContent>
    </w:sdt>
    <w:sectPr w:rsidR="00DD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25"/>
    <w:rsid w:val="0026298C"/>
    <w:rsid w:val="00424520"/>
    <w:rsid w:val="00753925"/>
    <w:rsid w:val="00986641"/>
    <w:rsid w:val="00BB1984"/>
    <w:rsid w:val="00DD0CB9"/>
    <w:rsid w:val="00E5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FBB6"/>
  <w15:chartTrackingRefBased/>
  <w15:docId w15:val="{5A5BFAFE-67ED-4037-B499-26CAEA4F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92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50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025">
      <w:bodyDiv w:val="1"/>
      <w:marLeft w:val="0"/>
      <w:marRight w:val="0"/>
      <w:marTop w:val="0"/>
      <w:marBottom w:val="0"/>
      <w:divBdr>
        <w:top w:val="none" w:sz="0" w:space="0" w:color="auto"/>
        <w:left w:val="none" w:sz="0" w:space="0" w:color="auto"/>
        <w:bottom w:val="none" w:sz="0" w:space="0" w:color="auto"/>
        <w:right w:val="none" w:sz="0" w:space="0" w:color="auto"/>
      </w:divBdr>
    </w:div>
    <w:div w:id="1715957315">
      <w:bodyDiv w:val="1"/>
      <w:marLeft w:val="0"/>
      <w:marRight w:val="0"/>
      <w:marTop w:val="0"/>
      <w:marBottom w:val="0"/>
      <w:divBdr>
        <w:top w:val="none" w:sz="0" w:space="0" w:color="auto"/>
        <w:left w:val="none" w:sz="0" w:space="0" w:color="auto"/>
        <w:bottom w:val="none" w:sz="0" w:space="0" w:color="auto"/>
        <w:right w:val="none" w:sz="0" w:space="0" w:color="auto"/>
      </w:divBdr>
      <w:divsChild>
        <w:div w:id="71692811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EE79315-9E38-48F0-9AC2-A823667355C6}"/>
      </w:docPartPr>
      <w:docPartBody>
        <w:p w:rsidR="00000000" w:rsidRDefault="00FE185E">
          <w:r w:rsidRPr="006639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5E"/>
    <w:rsid w:val="00F435DE"/>
    <w:rsid w:val="00FE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8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E461F-9749-4566-81C9-303AAFB06692}">
  <we:reference id="wa104382081" version="1.46.0.0" store="en-US" storeType="OMEX"/>
  <we:alternateReferences>
    <we:reference id="wa104382081" version="1.46.0.0" store="" storeType="OMEX"/>
  </we:alternateReferences>
  <we:properties>
    <we:property name="MENDELEY_CITATIONS" value="[{&quot;citationID&quot;:&quot;MENDELEY_CITATION_da058579-2ac0-40bb-8efe-fc860fc991a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&quot;,&quot;citationItems&quot;:[{&quot;id&quot;:&quot;fdc1fe3c-c26a-3fe3-90e3-78baa5de019a&quot;,&quot;itemData&quot;:{&quot;type&quot;:&quot;article-journal&quot;,&quot;id&quot;:&quot;fdc1fe3c-c26a-3fe3-90e3-78baa5de019a&quot;,&quot;title&quot;:&quot;Tracking Universal \nHealth Coverage in the\nWHO African Region, 2022&quot;,&quot;author&quot;:[{&quot;family&quot;:&quot;World Health Organization Regional Office for Africa&quot;,&quot;given&quot;:&quot;&quot;,&quot;parse-names&quot;:false,&quot;dropping-particle&quot;:&quot;&quot;,&quot;non-dropping-particle&quot;:&quot;&quot;}],&quot;container-title&quot;:&quot;World Health Organization Regional Office for Africa&quot;,&quot;accessed&quot;:{&quot;date-parts&quot;:[[2022,8,17]]},&quot;ISBN&quot;:&quot;978-929023476-0&quot;,&quot;URL&quot;:&quot;https://apps.who.int/iris/bitstream/handle/10665/361229/9789290234760-eng.pdf?sequence=1&amp;isAllowed=y&quot;,&quot;abstract&quot;:&quot;The 47 Member States of the WHO African Region and their partners are committed to aligning their de\u0002velopment agenda with the attainment of the Sustainable Development Goals (SDGs). The third goal, SDG \n3, reflects the overall aspiration of good health and well-being for all, at all ages. Universal health coverage \n(UHC) represents the umbrella target for SDG 3, with a focus on ensuring “All people have access to the \nhealth care they need, when and where they need it, without facing financial hardships”. Two indicators \nare used to monitor progress towards UHC: service coverage index (SCI) and financial risk protection.\nOver the past two decades, substantial progress has been made in the Region in the UHC SCI. In 2019, the \nlatest year for which data is available, the SCI ranged from 28 to 75 (out of 100) across all Member States. \nOf these, seven had high service coverage (index of 60 and above), 29 had a service coverage index value \nof between 40 and 59, and 12 had low coverage (index between 20 and 39). Although SCI values in some \ncountries remain low, none of the countries had a value below 20. The highest values were recorded in \nthe Southern and Northern African subregions (75 and 53 respectively). The most significant progress \nbetween 2000 and 2019 was observed in the Eastern African subregion (24 index points), followed by \nthe Western and Southern African subregions (23 index points). There is a strong correlation between \nUHC SCI and gross national income per capita (current US$) in log scale (r=0.662), suggesting a close \nrelationship between income level and the coverage of essential health services. Regarding the SCI sub\u0002components, the infectious disease subindex saw the most improvement between 2000 and 2019 (from \n6 to 48), with a pronounced acceleration in 2005 due to the rapid scale-up of HIV, tuberculosis and malar\u0002ia services. The RMNCH subindex also witnessed significant progress. The noncommunicable disease \n(NCD) component of the SCI was the slowest to progress.\nProgress with FRP however has largely stagnated over the past 20 years. Across the countries of the \nregion, the proportion of the population spending more than 10% of their income on health was reducing \nby more than 0.1% annually in 25 countries. Out- of-pocket expenditure increased by more than 90% in \nat least three countries. Only seven countries have their governments financing more than half of their \nhealth budgets. \nIn terms of combined service coverage and financial risk protection, a total of 15 countries are faring \nabove the regional overage. Good performance is not income driven – with examples of upper-, mid\u0002dle- and low-income countries among the 15 good performers. Rwanda, Malawi and Mozambique are \nlow-income countries among the 15 good performers, while Angola, Nigeria, Mauritania, Côte d’Ivoire, \nCameroon and Comoros are middle-income countries with low performance in both service coverage and \nfinancial risk protection.\nThe functionality of the health systems is the strongest predictor of UHC service coverage in the Region. \nInvestments targeted at improving system functionality will have the greatest impact on UHC in the Re\u0002gion.&quot;,&quot;container-title-short&quot;:&quot;&quot;},&quot;isTemporary&quot;:false}]}]"/>
    <we:property name="MENDELEY_CITATIONS_STYLE" value="{&quot;id&quot;:&quot;https://www.zotero.org/styles/american-medical-association&quot;,&quot;title&quot;:&quot;American Medical Association 11th edition&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4732-4405-48FB-9CF7-B81D0018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Hoehner, Jessica (GH/OHA/SIEI)</dc:creator>
  <cp:keywords/>
  <dc:description/>
  <cp:lastModifiedBy>Hoehner, Jessica (GH/OHA/SIEI)</cp:lastModifiedBy>
  <cp:revision>2</cp:revision>
  <dcterms:created xsi:type="dcterms:W3CDTF">2022-08-18T18:54:00Z</dcterms:created>
  <dcterms:modified xsi:type="dcterms:W3CDTF">2022-08-18T20:50:00Z</dcterms:modified>
</cp:coreProperties>
</file>