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67174" w14:textId="77777777" w:rsidR="00ED70A5" w:rsidRPr="00ED70A5" w:rsidRDefault="00ED70A5" w:rsidP="00ED70A5">
      <w:pPr>
        <w:rPr>
          <w:b/>
          <w:bCs/>
        </w:rPr>
      </w:pPr>
      <w:r w:rsidRPr="00ED70A5">
        <w:rPr>
          <w:b/>
          <w:bCs/>
        </w:rPr>
        <w:t>Checklist: Clinical Protocol for Laser-Excised Specimen Handling</w:t>
      </w:r>
    </w:p>
    <w:p w14:paraId="7F0B37AB" w14:textId="77777777" w:rsidR="00ED70A5" w:rsidRPr="00ED70A5" w:rsidRDefault="00ED70A5" w:rsidP="00ED70A5">
      <w:r w:rsidRPr="00ED70A5">
        <w:t>This checklist is designed for surgical oncology teams and pathology departments to ensure diagnostic integrity when utilizing laser technology for biopsies.</w:t>
      </w:r>
    </w:p>
    <w:p w14:paraId="6C6394BA" w14:textId="5CA36F86" w:rsidR="00ED70A5" w:rsidRPr="00ED70A5" w:rsidRDefault="00ED70A5" w:rsidP="00ED70A5"/>
    <w:p w14:paraId="434D9C48" w14:textId="77777777" w:rsidR="00ED70A5" w:rsidRPr="00ED70A5" w:rsidRDefault="00ED70A5" w:rsidP="00ED70A5">
      <w:pPr>
        <w:rPr>
          <w:b/>
          <w:bCs/>
        </w:rPr>
      </w:pPr>
      <w:r w:rsidRPr="00ED70A5">
        <w:rPr>
          <w:b/>
          <w:bCs/>
        </w:rPr>
        <w:t>I. Intraoperative Preparation (Surgical Team)</w:t>
      </w:r>
    </w:p>
    <w:p w14:paraId="1371419D" w14:textId="77777777" w:rsidR="00ED70A5" w:rsidRDefault="00ED70A5" w:rsidP="00ED70A5">
      <w:pPr>
        <w:numPr>
          <w:ilvl w:val="0"/>
          <w:numId w:val="1"/>
        </w:numPr>
      </w:pPr>
      <w:proofErr w:type="gramStart"/>
      <w:r w:rsidRPr="00ED70A5">
        <w:t>[ ]</w:t>
      </w:r>
      <w:proofErr w:type="gramEnd"/>
      <w:r w:rsidRPr="00ED70A5">
        <w:t xml:space="preserve"> </w:t>
      </w:r>
      <w:r w:rsidRPr="00ED70A5">
        <w:rPr>
          <w:b/>
          <w:bCs/>
        </w:rPr>
        <w:t>Langer’s Lines Identification:</w:t>
      </w:r>
      <w:r w:rsidRPr="00ED70A5">
        <w:t xml:space="preserve"> Map the skin tension lines at the biopsy site.</w:t>
      </w:r>
    </w:p>
    <w:p w14:paraId="42E4E548" w14:textId="77777777" w:rsidR="00ED70A5" w:rsidRPr="00ED70A5" w:rsidRDefault="00ED70A5" w:rsidP="00ED70A5">
      <w:pPr>
        <w:ind w:left="720"/>
      </w:pPr>
    </w:p>
    <w:p w14:paraId="7AEED423" w14:textId="77777777" w:rsidR="00ED70A5" w:rsidRPr="00ED70A5" w:rsidRDefault="00ED70A5" w:rsidP="00ED70A5">
      <w:pPr>
        <w:numPr>
          <w:ilvl w:val="0"/>
          <w:numId w:val="1"/>
        </w:numPr>
      </w:pPr>
      <w:proofErr w:type="gramStart"/>
      <w:r w:rsidRPr="00ED70A5">
        <w:t>[ ]</w:t>
      </w:r>
      <w:proofErr w:type="gramEnd"/>
      <w:r w:rsidRPr="00ED70A5">
        <w:t xml:space="preserve"> </w:t>
      </w:r>
      <w:r w:rsidRPr="00ED70A5">
        <w:rPr>
          <w:b/>
          <w:bCs/>
        </w:rPr>
        <w:t>Perpendicular Tension Applied:</w:t>
      </w:r>
      <w:r w:rsidRPr="00ED70A5">
        <w:t xml:space="preserve"> Manually spread the skin at a 90-degree angle to Langer’s lines.</w:t>
      </w:r>
    </w:p>
    <w:p w14:paraId="374D3415" w14:textId="77777777" w:rsidR="00ED70A5" w:rsidRDefault="00ED70A5" w:rsidP="00ED70A5">
      <w:pPr>
        <w:numPr>
          <w:ilvl w:val="1"/>
          <w:numId w:val="1"/>
        </w:numPr>
      </w:pPr>
      <w:r w:rsidRPr="00ED70A5">
        <w:rPr>
          <w:i/>
          <w:iCs/>
        </w:rPr>
        <w:t>Rationale:</w:t>
      </w:r>
      <w:r w:rsidRPr="00ED70A5">
        <w:t xml:space="preserve"> Creates a natural elliptical wound to minimize scarring and "dog ears."</w:t>
      </w:r>
    </w:p>
    <w:p w14:paraId="60B63A7D" w14:textId="77777777" w:rsidR="00ED70A5" w:rsidRPr="00ED70A5" w:rsidRDefault="00ED70A5" w:rsidP="00ED70A5">
      <w:pPr>
        <w:ind w:left="1440"/>
      </w:pPr>
    </w:p>
    <w:p w14:paraId="27D3DCBA" w14:textId="77777777" w:rsidR="00ED70A5" w:rsidRDefault="00ED70A5" w:rsidP="00ED70A5">
      <w:pPr>
        <w:numPr>
          <w:ilvl w:val="0"/>
          <w:numId w:val="1"/>
        </w:numPr>
      </w:pPr>
      <w:proofErr w:type="gramStart"/>
      <w:r w:rsidRPr="00ED70A5">
        <w:t>[ ]</w:t>
      </w:r>
      <w:proofErr w:type="gramEnd"/>
      <w:r w:rsidRPr="00ED70A5">
        <w:t xml:space="preserve"> </w:t>
      </w:r>
      <w:r w:rsidRPr="00ED70A5">
        <w:rPr>
          <w:b/>
          <w:bCs/>
        </w:rPr>
        <w:t>Surgical Tape Stabilization:</w:t>
      </w:r>
      <w:r w:rsidRPr="00ED70A5">
        <w:t xml:space="preserve"> Secure the spread skin with tape to maintain tension during computer-guided ablation.</w:t>
      </w:r>
    </w:p>
    <w:p w14:paraId="51FDB53B" w14:textId="77777777" w:rsidR="00ED70A5" w:rsidRPr="00ED70A5" w:rsidRDefault="00ED70A5" w:rsidP="00ED70A5">
      <w:pPr>
        <w:ind w:left="720"/>
      </w:pPr>
    </w:p>
    <w:p w14:paraId="05C78FE9" w14:textId="77777777" w:rsidR="00ED70A5" w:rsidRDefault="00ED70A5" w:rsidP="00ED70A5">
      <w:pPr>
        <w:numPr>
          <w:ilvl w:val="0"/>
          <w:numId w:val="1"/>
        </w:numPr>
      </w:pPr>
      <w:proofErr w:type="gramStart"/>
      <w:r w:rsidRPr="00ED70A5">
        <w:t>[ ]</w:t>
      </w:r>
      <w:proofErr w:type="gramEnd"/>
      <w:r w:rsidRPr="00ED70A5">
        <w:t xml:space="preserve"> </w:t>
      </w:r>
      <w:r w:rsidRPr="00ED70A5">
        <w:rPr>
          <w:b/>
          <w:bCs/>
        </w:rPr>
        <w:t>Computer Shape Alignment:</w:t>
      </w:r>
      <w:r w:rsidRPr="00ED70A5">
        <w:t xml:space="preserve"> Align the digital path (0.001" stroke width) with the physical boundary projected on the skin.</w:t>
      </w:r>
    </w:p>
    <w:p w14:paraId="665FFE96" w14:textId="77777777" w:rsidR="00ED70A5" w:rsidRPr="00ED70A5" w:rsidRDefault="00ED70A5" w:rsidP="00ED70A5"/>
    <w:p w14:paraId="53E883EF" w14:textId="77777777" w:rsidR="00ED70A5" w:rsidRPr="00ED70A5" w:rsidRDefault="00ED70A5" w:rsidP="00ED70A5">
      <w:pPr>
        <w:numPr>
          <w:ilvl w:val="0"/>
          <w:numId w:val="1"/>
        </w:numPr>
      </w:pPr>
      <w:proofErr w:type="gramStart"/>
      <w:r w:rsidRPr="00ED70A5">
        <w:t>[ ]</w:t>
      </w:r>
      <w:proofErr w:type="gramEnd"/>
      <w:r w:rsidRPr="00ED70A5">
        <w:t xml:space="preserve"> </w:t>
      </w:r>
      <w:r w:rsidRPr="00ED70A5">
        <w:rPr>
          <w:b/>
          <w:bCs/>
        </w:rPr>
        <w:t>Orientation Marking:</w:t>
      </w:r>
      <w:r w:rsidRPr="00ED70A5">
        <w:t xml:space="preserve"> Place a suture or permanent marker at the 12 o'clock position </w:t>
      </w:r>
      <w:r w:rsidRPr="00ED70A5">
        <w:rPr>
          <w:i/>
          <w:iCs/>
        </w:rPr>
        <w:t>before</w:t>
      </w:r>
      <w:r w:rsidRPr="00ED70A5">
        <w:t xml:space="preserve"> final excision to assist the pathologist in orientation.</w:t>
      </w:r>
    </w:p>
    <w:p w14:paraId="1A1A3AB3" w14:textId="2BADC1CB" w:rsidR="00ED70A5" w:rsidRPr="00ED70A5" w:rsidRDefault="00ED70A5" w:rsidP="00ED70A5"/>
    <w:p w14:paraId="7B4A9474" w14:textId="77777777" w:rsidR="00ED70A5" w:rsidRPr="00ED70A5" w:rsidRDefault="00ED70A5" w:rsidP="00ED70A5">
      <w:pPr>
        <w:rPr>
          <w:b/>
          <w:bCs/>
        </w:rPr>
      </w:pPr>
      <w:r w:rsidRPr="00ED70A5">
        <w:rPr>
          <w:b/>
          <w:bCs/>
        </w:rPr>
        <w:t>II. Post-Excision Stabilization (Nursing/Surgical Staff)</w:t>
      </w:r>
    </w:p>
    <w:p w14:paraId="772E2584" w14:textId="77777777" w:rsidR="00ED70A5" w:rsidRDefault="00ED70A5" w:rsidP="00ED70A5">
      <w:pPr>
        <w:numPr>
          <w:ilvl w:val="0"/>
          <w:numId w:val="2"/>
        </w:numPr>
      </w:pPr>
      <w:proofErr w:type="gramStart"/>
      <w:r w:rsidRPr="00ED70A5">
        <w:t>[ ]</w:t>
      </w:r>
      <w:proofErr w:type="gramEnd"/>
      <w:r w:rsidRPr="00ED70A5">
        <w:t xml:space="preserve"> </w:t>
      </w:r>
      <w:r w:rsidRPr="00ED70A5">
        <w:rPr>
          <w:b/>
          <w:bCs/>
        </w:rPr>
        <w:t>Immediate Fixation:</w:t>
      </w:r>
      <w:r w:rsidRPr="00ED70A5">
        <w:t xml:space="preserve"> Submerge the specimen in 10% Neutral Buffered Formalin (NBF) immediately upon removal.</w:t>
      </w:r>
    </w:p>
    <w:p w14:paraId="66A0F0BE" w14:textId="77777777" w:rsidR="00ED70A5" w:rsidRPr="00ED70A5" w:rsidRDefault="00ED70A5" w:rsidP="00ED70A5">
      <w:pPr>
        <w:ind w:left="720"/>
      </w:pPr>
    </w:p>
    <w:p w14:paraId="40623110" w14:textId="77777777" w:rsidR="00ED70A5" w:rsidRDefault="00ED70A5" w:rsidP="00ED70A5">
      <w:pPr>
        <w:numPr>
          <w:ilvl w:val="0"/>
          <w:numId w:val="2"/>
        </w:numPr>
      </w:pPr>
      <w:proofErr w:type="gramStart"/>
      <w:r w:rsidRPr="00ED70A5">
        <w:t>[ ]</w:t>
      </w:r>
      <w:proofErr w:type="gramEnd"/>
      <w:r w:rsidRPr="00ED70A5">
        <w:t xml:space="preserve"> </w:t>
      </w:r>
      <w:r w:rsidRPr="00ED70A5">
        <w:rPr>
          <w:b/>
          <w:bCs/>
        </w:rPr>
        <w:t>Fixative Ratio Check:</w:t>
      </w:r>
      <w:r w:rsidRPr="00ED70A5">
        <w:t xml:space="preserve"> Ensure a minimum ratio of 10 parts formalin to 1 part tissue.</w:t>
      </w:r>
    </w:p>
    <w:p w14:paraId="1555B701" w14:textId="77777777" w:rsidR="00ED70A5" w:rsidRPr="00ED70A5" w:rsidRDefault="00ED70A5" w:rsidP="00ED70A5"/>
    <w:p w14:paraId="12011340" w14:textId="77777777" w:rsidR="00ED70A5" w:rsidRPr="00ED70A5" w:rsidRDefault="00ED70A5" w:rsidP="00ED70A5">
      <w:pPr>
        <w:numPr>
          <w:ilvl w:val="0"/>
          <w:numId w:val="2"/>
        </w:numPr>
      </w:pPr>
      <w:proofErr w:type="gramStart"/>
      <w:r w:rsidRPr="00ED70A5">
        <w:lastRenderedPageBreak/>
        <w:t>[ ]</w:t>
      </w:r>
      <w:proofErr w:type="gramEnd"/>
      <w:r w:rsidRPr="00ED70A5">
        <w:t xml:space="preserve"> </w:t>
      </w:r>
      <w:r w:rsidRPr="00ED70A5">
        <w:rPr>
          <w:b/>
          <w:bCs/>
        </w:rPr>
        <w:t>Labeling:</w:t>
      </w:r>
      <w:r w:rsidRPr="00ED70A5">
        <w:t xml:space="preserve"> Clearly mark the container as "Laser Excision" to alert the pathologist to potential thermal artifacts.</w:t>
      </w:r>
    </w:p>
    <w:p w14:paraId="4E4C28F5" w14:textId="204F885C" w:rsidR="00ED70A5" w:rsidRPr="00ED70A5" w:rsidRDefault="00ED70A5" w:rsidP="00ED70A5"/>
    <w:p w14:paraId="5ACC2D5F" w14:textId="77777777" w:rsidR="00ED70A5" w:rsidRPr="00ED70A5" w:rsidRDefault="00ED70A5" w:rsidP="00ED70A5">
      <w:pPr>
        <w:rPr>
          <w:b/>
          <w:bCs/>
        </w:rPr>
      </w:pPr>
      <w:r w:rsidRPr="00ED70A5">
        <w:rPr>
          <w:b/>
          <w:bCs/>
        </w:rPr>
        <w:t>III. Gross Examination (Pathology Lab)</w:t>
      </w:r>
    </w:p>
    <w:p w14:paraId="65F584B4" w14:textId="77777777" w:rsidR="00ED70A5" w:rsidRDefault="00ED70A5" w:rsidP="00ED70A5">
      <w:pPr>
        <w:numPr>
          <w:ilvl w:val="0"/>
          <w:numId w:val="3"/>
        </w:numPr>
      </w:pPr>
      <w:proofErr w:type="gramStart"/>
      <w:r w:rsidRPr="00ED70A5">
        <w:t>[ ]</w:t>
      </w:r>
      <w:proofErr w:type="gramEnd"/>
      <w:r w:rsidRPr="00ED70A5">
        <w:t xml:space="preserve"> </w:t>
      </w:r>
      <w:r w:rsidRPr="00ED70A5">
        <w:rPr>
          <w:b/>
          <w:bCs/>
        </w:rPr>
        <w:t>Differential Inking:</w:t>
      </w:r>
      <w:r w:rsidRPr="00ED70A5">
        <w:t xml:space="preserve"> Apply multiple ink colors to specific margins (e.g., Deep = Black, Superior = Green) to distinguish surgical boundaries from laser-charred areas.</w:t>
      </w:r>
    </w:p>
    <w:p w14:paraId="76518781" w14:textId="77777777" w:rsidR="00ED70A5" w:rsidRPr="00ED70A5" w:rsidRDefault="00ED70A5" w:rsidP="00ED70A5">
      <w:pPr>
        <w:ind w:left="720"/>
      </w:pPr>
    </w:p>
    <w:p w14:paraId="16F0DC83" w14:textId="77777777" w:rsidR="00ED70A5" w:rsidRDefault="00ED70A5" w:rsidP="00ED70A5">
      <w:pPr>
        <w:numPr>
          <w:ilvl w:val="0"/>
          <w:numId w:val="3"/>
        </w:numPr>
      </w:pPr>
      <w:proofErr w:type="gramStart"/>
      <w:r w:rsidRPr="00ED70A5">
        <w:t>[ ]</w:t>
      </w:r>
      <w:proofErr w:type="gramEnd"/>
      <w:r w:rsidRPr="00ED70A5">
        <w:t xml:space="preserve"> </w:t>
      </w:r>
      <w:r w:rsidRPr="00ED70A5">
        <w:rPr>
          <w:b/>
          <w:bCs/>
        </w:rPr>
        <w:t>Thermal Zone Measurement:</w:t>
      </w:r>
      <w:r w:rsidRPr="00ED70A5">
        <w:t xml:space="preserve"> Document the thickness of the carbonized "char" layer in the gross report.</w:t>
      </w:r>
    </w:p>
    <w:p w14:paraId="1236FCA2" w14:textId="77777777" w:rsidR="00ED70A5" w:rsidRPr="00ED70A5" w:rsidRDefault="00ED70A5" w:rsidP="00ED70A5"/>
    <w:p w14:paraId="31484F61" w14:textId="77777777" w:rsidR="00ED70A5" w:rsidRPr="00ED70A5" w:rsidRDefault="00ED70A5" w:rsidP="00ED70A5">
      <w:pPr>
        <w:numPr>
          <w:ilvl w:val="0"/>
          <w:numId w:val="3"/>
        </w:numPr>
      </w:pPr>
      <w:proofErr w:type="gramStart"/>
      <w:r w:rsidRPr="00ED70A5">
        <w:t>[ ]</w:t>
      </w:r>
      <w:proofErr w:type="gramEnd"/>
      <w:r w:rsidRPr="00ED70A5">
        <w:t xml:space="preserve"> </w:t>
      </w:r>
      <w:r w:rsidRPr="00ED70A5">
        <w:rPr>
          <w:b/>
          <w:bCs/>
        </w:rPr>
        <w:t>Incision Quality Review:</w:t>
      </w:r>
      <w:r w:rsidRPr="00ED70A5">
        <w:t xml:space="preserve"> If the charring exceeds 0.5mm, flag the specimen for "Deep Levels" sectioning.</w:t>
      </w:r>
    </w:p>
    <w:p w14:paraId="3E1A0226" w14:textId="3283CDBC" w:rsidR="00ED70A5" w:rsidRPr="00ED70A5" w:rsidRDefault="00ED70A5" w:rsidP="00ED70A5"/>
    <w:p w14:paraId="06D13158" w14:textId="77777777" w:rsidR="00ED70A5" w:rsidRPr="00ED70A5" w:rsidRDefault="00ED70A5" w:rsidP="00ED70A5">
      <w:pPr>
        <w:rPr>
          <w:b/>
          <w:bCs/>
        </w:rPr>
      </w:pPr>
      <w:r w:rsidRPr="00ED70A5">
        <w:rPr>
          <w:b/>
          <w:bCs/>
        </w:rPr>
        <w:t>IV. Microscopic Evaluation (Pathologist)</w:t>
      </w:r>
    </w:p>
    <w:p w14:paraId="225E9FAA" w14:textId="77777777" w:rsidR="00ED70A5" w:rsidRDefault="00ED70A5" w:rsidP="00ED70A5">
      <w:pPr>
        <w:numPr>
          <w:ilvl w:val="0"/>
          <w:numId w:val="4"/>
        </w:numPr>
      </w:pPr>
      <w:proofErr w:type="gramStart"/>
      <w:r w:rsidRPr="00ED70A5">
        <w:t>[ ]</w:t>
      </w:r>
      <w:proofErr w:type="gramEnd"/>
      <w:r w:rsidRPr="00ED70A5">
        <w:t xml:space="preserve"> </w:t>
      </w:r>
      <w:r w:rsidRPr="00ED70A5">
        <w:rPr>
          <w:b/>
          <w:bCs/>
        </w:rPr>
        <w:t>Artifact Identification:</w:t>
      </w:r>
      <w:r w:rsidRPr="00ED70A5">
        <w:t xml:space="preserve"> Distinguish between "streaming" nuclei (thermal stretching) and true cellular dysplasia.</w:t>
      </w:r>
    </w:p>
    <w:p w14:paraId="7AC64D77" w14:textId="77777777" w:rsidR="00ED70A5" w:rsidRPr="00ED70A5" w:rsidRDefault="00ED70A5" w:rsidP="00ED70A5">
      <w:pPr>
        <w:ind w:left="720"/>
      </w:pPr>
    </w:p>
    <w:p w14:paraId="231FF40F" w14:textId="77777777" w:rsidR="00ED70A5" w:rsidRDefault="00ED70A5" w:rsidP="00ED70A5">
      <w:pPr>
        <w:numPr>
          <w:ilvl w:val="0"/>
          <w:numId w:val="4"/>
        </w:numPr>
      </w:pPr>
      <w:proofErr w:type="gramStart"/>
      <w:r w:rsidRPr="00ED70A5">
        <w:t>[ ]</w:t>
      </w:r>
      <w:proofErr w:type="gramEnd"/>
      <w:r w:rsidRPr="00ED70A5">
        <w:t xml:space="preserve"> </w:t>
      </w:r>
      <w:r w:rsidRPr="00ED70A5">
        <w:rPr>
          <w:b/>
          <w:bCs/>
        </w:rPr>
        <w:t>Coagulative Necrosis Exclusion:</w:t>
      </w:r>
      <w:r w:rsidRPr="00ED70A5">
        <w:t xml:space="preserve"> Disregard the narrow band of eosinophilic tissue at the immediate margin when grading tumor cells.</w:t>
      </w:r>
    </w:p>
    <w:p w14:paraId="497CFE6E" w14:textId="77777777" w:rsidR="00ED70A5" w:rsidRPr="00ED70A5" w:rsidRDefault="00ED70A5" w:rsidP="00ED70A5"/>
    <w:p w14:paraId="1BE298E0" w14:textId="77777777" w:rsidR="00ED70A5" w:rsidRPr="00ED70A5" w:rsidRDefault="00ED70A5" w:rsidP="00ED70A5">
      <w:pPr>
        <w:numPr>
          <w:ilvl w:val="0"/>
          <w:numId w:val="4"/>
        </w:numPr>
      </w:pPr>
      <w:proofErr w:type="gramStart"/>
      <w:r w:rsidRPr="00ED70A5">
        <w:t>[ ]</w:t>
      </w:r>
      <w:proofErr w:type="gramEnd"/>
      <w:r w:rsidRPr="00ED70A5">
        <w:t xml:space="preserve"> </w:t>
      </w:r>
      <w:r w:rsidRPr="00ED70A5">
        <w:rPr>
          <w:b/>
          <w:bCs/>
        </w:rPr>
        <w:t>Margin Status Reporting:</w:t>
      </w:r>
      <w:r w:rsidRPr="00ED70A5">
        <w:t xml:space="preserve"> Explicitly state if margins are:</w:t>
      </w:r>
    </w:p>
    <w:p w14:paraId="5F0F9068" w14:textId="77777777" w:rsidR="00ED70A5" w:rsidRPr="00ED70A5" w:rsidRDefault="00ED70A5" w:rsidP="00ED70A5">
      <w:pPr>
        <w:numPr>
          <w:ilvl w:val="1"/>
          <w:numId w:val="4"/>
        </w:numPr>
      </w:pPr>
      <w:r w:rsidRPr="00ED70A5">
        <w:rPr>
          <w:i/>
          <w:iCs/>
        </w:rPr>
        <w:t>Clear:</w:t>
      </w:r>
      <w:r w:rsidRPr="00ED70A5">
        <w:t xml:space="preserve"> No tumor within the defined margin.</w:t>
      </w:r>
    </w:p>
    <w:p w14:paraId="7323C71C" w14:textId="77777777" w:rsidR="00ED70A5" w:rsidRPr="00ED70A5" w:rsidRDefault="00ED70A5" w:rsidP="00ED70A5">
      <w:pPr>
        <w:numPr>
          <w:ilvl w:val="1"/>
          <w:numId w:val="4"/>
        </w:numPr>
      </w:pPr>
      <w:r w:rsidRPr="00ED70A5">
        <w:rPr>
          <w:i/>
          <w:iCs/>
        </w:rPr>
        <w:t>Involved:</w:t>
      </w:r>
      <w:r w:rsidRPr="00ED70A5">
        <w:t xml:space="preserve"> Tumor present at the edge.</w:t>
      </w:r>
    </w:p>
    <w:p w14:paraId="3E9A7B80" w14:textId="77777777" w:rsidR="00ED70A5" w:rsidRDefault="00ED70A5" w:rsidP="00ED70A5">
      <w:pPr>
        <w:numPr>
          <w:ilvl w:val="1"/>
          <w:numId w:val="4"/>
        </w:numPr>
      </w:pPr>
      <w:r w:rsidRPr="00ED70A5">
        <w:rPr>
          <w:i/>
          <w:iCs/>
        </w:rPr>
        <w:t>Obscured:</w:t>
      </w:r>
      <w:r w:rsidRPr="00ED70A5">
        <w:t xml:space="preserve"> Thermal artifact prevents definitive assessment.</w:t>
      </w:r>
    </w:p>
    <w:p w14:paraId="71B987BB" w14:textId="77777777" w:rsidR="00ED70A5" w:rsidRDefault="00ED70A5" w:rsidP="00ED70A5">
      <w:pPr>
        <w:ind w:left="1080"/>
        <w:rPr>
          <w:i/>
          <w:iCs/>
        </w:rPr>
      </w:pPr>
    </w:p>
    <w:p w14:paraId="07A431F9" w14:textId="77777777" w:rsidR="00ED70A5" w:rsidRPr="00ED70A5" w:rsidRDefault="00ED70A5" w:rsidP="00ED70A5">
      <w:pPr>
        <w:ind w:left="1080"/>
      </w:pPr>
    </w:p>
    <w:p w14:paraId="4780C0EE" w14:textId="77777777" w:rsidR="00ED70A5" w:rsidRPr="00ED70A5" w:rsidRDefault="00ED70A5" w:rsidP="00ED70A5">
      <w:pPr>
        <w:numPr>
          <w:ilvl w:val="0"/>
          <w:numId w:val="4"/>
        </w:numPr>
      </w:pPr>
      <w:proofErr w:type="gramStart"/>
      <w:r w:rsidRPr="00ED70A5">
        <w:lastRenderedPageBreak/>
        <w:t>[ ]</w:t>
      </w:r>
      <w:proofErr w:type="gramEnd"/>
      <w:r w:rsidRPr="00ED70A5">
        <w:t xml:space="preserve"> </w:t>
      </w:r>
      <w:r w:rsidRPr="00ED70A5">
        <w:rPr>
          <w:b/>
          <w:bCs/>
        </w:rPr>
        <w:t xml:space="preserve">Ancillary Testing (If </w:t>
      </w:r>
      <w:proofErr w:type="gramStart"/>
      <w:r w:rsidRPr="00ED70A5">
        <w:rPr>
          <w:b/>
          <w:bCs/>
        </w:rPr>
        <w:t>Needed</w:t>
      </w:r>
      <w:proofErr w:type="gramEnd"/>
      <w:r w:rsidRPr="00ED70A5">
        <w:rPr>
          <w:b/>
          <w:bCs/>
        </w:rPr>
        <w:t>):</w:t>
      </w:r>
      <w:r w:rsidRPr="00ED70A5">
        <w:t xml:space="preserve"> Order IHC markers (e.g., p16, </w:t>
      </w:r>
      <w:proofErr w:type="spellStart"/>
      <w:r w:rsidRPr="00ED70A5">
        <w:t>cytokeratins</w:t>
      </w:r>
      <w:proofErr w:type="spellEnd"/>
      <w:r w:rsidRPr="00ED70A5">
        <w:t>) if thermal damage obscures standard H&amp;E morphology.</w:t>
      </w:r>
    </w:p>
    <w:p w14:paraId="317645BA" w14:textId="0EFBBEB9" w:rsidR="00ED70A5" w:rsidRPr="00ED70A5" w:rsidRDefault="00ED70A5" w:rsidP="00ED70A5"/>
    <w:p w14:paraId="215DAD31" w14:textId="77777777" w:rsidR="00ED70A5" w:rsidRPr="00ED70A5" w:rsidRDefault="00ED70A5" w:rsidP="00ED70A5">
      <w:pPr>
        <w:rPr>
          <w:b/>
          <w:bCs/>
        </w:rPr>
      </w:pPr>
      <w:r w:rsidRPr="00ED70A5">
        <w:rPr>
          <w:b/>
          <w:bCs/>
        </w:rPr>
        <w:t>V. Troubleshooting &amp; Quality Control</w:t>
      </w:r>
    </w:p>
    <w:p w14:paraId="21C9E241" w14:textId="77777777" w:rsidR="00ED70A5" w:rsidRPr="00ED70A5" w:rsidRDefault="00ED70A5" w:rsidP="00ED70A5">
      <w:pPr>
        <w:numPr>
          <w:ilvl w:val="0"/>
          <w:numId w:val="5"/>
        </w:numPr>
      </w:pPr>
      <w:proofErr w:type="gramStart"/>
      <w:r w:rsidRPr="00ED70A5">
        <w:t>[ ]</w:t>
      </w:r>
      <w:proofErr w:type="gramEnd"/>
      <w:r w:rsidRPr="00ED70A5">
        <w:t xml:space="preserve"> </w:t>
      </w:r>
      <w:r w:rsidRPr="00ED70A5">
        <w:rPr>
          <w:b/>
          <w:bCs/>
        </w:rPr>
        <w:t>Feedback Loop:</w:t>
      </w:r>
      <w:r w:rsidRPr="00ED70A5">
        <w:t xml:space="preserve"> If artifacts are consistently high, notify the surgeon to:</w:t>
      </w:r>
    </w:p>
    <w:p w14:paraId="58F9ACF5" w14:textId="77777777" w:rsidR="00ED70A5" w:rsidRPr="00ED70A5" w:rsidRDefault="00ED70A5" w:rsidP="00ED70A5">
      <w:pPr>
        <w:numPr>
          <w:ilvl w:val="1"/>
          <w:numId w:val="5"/>
        </w:numPr>
      </w:pPr>
      <w:r w:rsidRPr="00ED70A5">
        <w:t>Increase programmed speed (mm/s).</w:t>
      </w:r>
    </w:p>
    <w:p w14:paraId="7D6D0892" w14:textId="77777777" w:rsidR="00ED70A5" w:rsidRPr="00ED70A5" w:rsidRDefault="00ED70A5" w:rsidP="00ED70A5">
      <w:pPr>
        <w:numPr>
          <w:ilvl w:val="1"/>
          <w:numId w:val="5"/>
        </w:numPr>
      </w:pPr>
      <w:r w:rsidRPr="00ED70A5">
        <w:t>Switch to Super-Pulse mode.</w:t>
      </w:r>
    </w:p>
    <w:p w14:paraId="5AEEB383" w14:textId="77777777" w:rsidR="00ED70A5" w:rsidRPr="00ED70A5" w:rsidRDefault="00ED70A5" w:rsidP="00ED70A5">
      <w:pPr>
        <w:numPr>
          <w:ilvl w:val="1"/>
          <w:numId w:val="5"/>
        </w:numPr>
      </w:pPr>
      <w:r w:rsidRPr="00ED70A5">
        <w:t>Re-calibrate the laser focal point.</w:t>
      </w:r>
    </w:p>
    <w:p w14:paraId="126986C7" w14:textId="465F6F43" w:rsidR="00ED70A5" w:rsidRDefault="00ED70A5" w:rsidP="00ED70A5"/>
    <w:p w14:paraId="2EA900B9" w14:textId="77777777" w:rsidR="00ED70A5" w:rsidRDefault="00ED70A5" w:rsidP="00ED70A5"/>
    <w:p w14:paraId="652F91F6" w14:textId="77777777" w:rsidR="00ED70A5" w:rsidRDefault="00ED70A5" w:rsidP="00ED70A5"/>
    <w:p w14:paraId="20E7268F" w14:textId="77777777" w:rsidR="00ED70A5" w:rsidRDefault="00ED70A5" w:rsidP="00ED70A5"/>
    <w:p w14:paraId="629FC478" w14:textId="77777777" w:rsidR="00ED70A5" w:rsidRDefault="00ED70A5" w:rsidP="00ED70A5"/>
    <w:p w14:paraId="29CE6515" w14:textId="77777777" w:rsidR="00ED70A5" w:rsidRDefault="00ED70A5" w:rsidP="00ED70A5"/>
    <w:p w14:paraId="5B3661FE" w14:textId="77777777" w:rsidR="00ED70A5" w:rsidRDefault="00ED70A5" w:rsidP="00ED70A5"/>
    <w:p w14:paraId="307B341A" w14:textId="77777777" w:rsidR="00ED70A5" w:rsidRDefault="00ED70A5" w:rsidP="00ED70A5"/>
    <w:p w14:paraId="3BB5DB13" w14:textId="77777777" w:rsidR="00ED70A5" w:rsidRDefault="00ED70A5" w:rsidP="00ED70A5"/>
    <w:p w14:paraId="4E846A5D" w14:textId="77777777" w:rsidR="00ED70A5" w:rsidRDefault="00ED70A5" w:rsidP="00ED70A5"/>
    <w:p w14:paraId="6EA98B5E" w14:textId="77777777" w:rsidR="00ED70A5" w:rsidRDefault="00ED70A5" w:rsidP="00ED70A5"/>
    <w:p w14:paraId="3C48D6FF" w14:textId="77777777" w:rsidR="00ED70A5" w:rsidRDefault="00ED70A5" w:rsidP="00ED70A5"/>
    <w:p w14:paraId="581CDA44" w14:textId="77777777" w:rsidR="00ED70A5" w:rsidRDefault="00ED70A5" w:rsidP="00ED70A5"/>
    <w:p w14:paraId="7F3F360B" w14:textId="77777777" w:rsidR="00ED70A5" w:rsidRDefault="00ED70A5" w:rsidP="00ED70A5"/>
    <w:p w14:paraId="1324A88A" w14:textId="77777777" w:rsidR="00ED70A5" w:rsidRPr="00ED70A5" w:rsidRDefault="00ED70A5" w:rsidP="00ED70A5"/>
    <w:p w14:paraId="75644021" w14:textId="77777777" w:rsidR="00ED70A5" w:rsidRPr="00ED70A5" w:rsidRDefault="00ED70A5" w:rsidP="00ED70A5">
      <w:r w:rsidRPr="00ED70A5">
        <w:rPr>
          <w:b/>
          <w:bCs/>
        </w:rPr>
        <w:t>University of Washington | Surgical Oncology Lecture Series</w:t>
      </w:r>
    </w:p>
    <w:p w14:paraId="21FD28E7" w14:textId="77777777" w:rsidR="00ED70A5" w:rsidRPr="00ED70A5" w:rsidRDefault="00ED70A5" w:rsidP="00ED70A5">
      <w:r w:rsidRPr="00ED70A5">
        <w:rPr>
          <w:i/>
          <w:iCs/>
        </w:rPr>
        <w:t>Fleet Admiral Correo Hofstad, MD, MDiv, JD, JSD</w:t>
      </w:r>
    </w:p>
    <w:p w14:paraId="0CDD8FE7" w14:textId="77777777" w:rsidR="00774E2A" w:rsidRDefault="00774E2A"/>
    <w:sectPr w:rsidR="00774E2A" w:rsidSect="00ED70A5">
      <w:footerReference w:type="even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AF2FC" w14:textId="77777777" w:rsidR="005D2138" w:rsidRDefault="005D2138" w:rsidP="00ED70A5">
      <w:pPr>
        <w:spacing w:after="0" w:line="240" w:lineRule="auto"/>
      </w:pPr>
      <w:r>
        <w:separator/>
      </w:r>
    </w:p>
  </w:endnote>
  <w:endnote w:type="continuationSeparator" w:id="0">
    <w:p w14:paraId="3EB0AE8E" w14:textId="77777777" w:rsidR="005D2138" w:rsidRDefault="005D2138" w:rsidP="00ED70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3FE09" w14:textId="3B4D4FF2" w:rsidR="00ED70A5" w:rsidRDefault="00ED70A5" w:rsidP="00ED70A5">
    <w:pPr>
      <w:pStyle w:val="Footer"/>
      <w:tabs>
        <w:tab w:val="clear" w:pos="4680"/>
        <w:tab w:val="clear" w:pos="9360"/>
        <w:tab w:val="left" w:pos="5328"/>
      </w:tabs>
      <w:jc w:val="center"/>
    </w:pPr>
    <w:hyperlink r:id="rId1" w:history="1">
      <w:r w:rsidRPr="003437FD">
        <w:rPr>
          <w:rStyle w:val="Hyperlink"/>
        </w:rPr>
        <w:t>https://healthcarelawmatters.foxrothschild.com/contact/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9AEA1" w14:textId="77777777" w:rsidR="00ED70A5" w:rsidRPr="003437FD" w:rsidRDefault="00ED70A5" w:rsidP="00ED70A5">
    <w:pPr>
      <w:pStyle w:val="Footer"/>
      <w:jc w:val="center"/>
    </w:pPr>
    <w:hyperlink r:id="rId1" w:history="1">
      <w:r w:rsidRPr="003437FD">
        <w:rPr>
          <w:rStyle w:val="Hyperlink"/>
        </w:rPr>
        <w:t>https://hemonc.uw.edu/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20DB8" w14:textId="162DD909" w:rsidR="00ED70A5" w:rsidRDefault="00ED70A5" w:rsidP="00ED70A5">
    <w:pPr>
      <w:pStyle w:val="Footer"/>
      <w:jc w:val="center"/>
    </w:pPr>
    <w:hyperlink r:id="rId1" w:history="1">
      <w:r w:rsidRPr="00ED70A5">
        <w:rPr>
          <w:rStyle w:val="Hyperlink"/>
        </w:rPr>
        <w:t>https://virustreatmentcenters.com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68C8E" w14:textId="77777777" w:rsidR="005D2138" w:rsidRDefault="005D2138" w:rsidP="00ED70A5">
      <w:pPr>
        <w:spacing w:after="0" w:line="240" w:lineRule="auto"/>
      </w:pPr>
      <w:r>
        <w:separator/>
      </w:r>
    </w:p>
  </w:footnote>
  <w:footnote w:type="continuationSeparator" w:id="0">
    <w:p w14:paraId="3DF5E5AE" w14:textId="77777777" w:rsidR="005D2138" w:rsidRDefault="005D2138" w:rsidP="00ED70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18DCC" w14:textId="77777777" w:rsidR="00ED70A5" w:rsidRDefault="00ED70A5" w:rsidP="00ED70A5">
    <w:pPr>
      <w:pStyle w:val="Header"/>
      <w:jc w:val="right"/>
    </w:pPr>
    <w:r>
      <w:t>ECNM HOFSTAD</w:t>
    </w:r>
  </w:p>
  <w:p w14:paraId="3E3AC03F" w14:textId="77777777" w:rsidR="00ED70A5" w:rsidRDefault="00ED70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4E0A"/>
    <w:multiLevelType w:val="multilevel"/>
    <w:tmpl w:val="24F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37654F"/>
    <w:multiLevelType w:val="multilevel"/>
    <w:tmpl w:val="981E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C4744C"/>
    <w:multiLevelType w:val="multilevel"/>
    <w:tmpl w:val="C756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05149"/>
    <w:multiLevelType w:val="multilevel"/>
    <w:tmpl w:val="2C6A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B52EE1"/>
    <w:multiLevelType w:val="multilevel"/>
    <w:tmpl w:val="610C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0892">
    <w:abstractNumId w:val="2"/>
  </w:num>
  <w:num w:numId="2" w16cid:durableId="1844976877">
    <w:abstractNumId w:val="1"/>
  </w:num>
  <w:num w:numId="3" w16cid:durableId="1136609911">
    <w:abstractNumId w:val="3"/>
  </w:num>
  <w:num w:numId="4" w16cid:durableId="994408465">
    <w:abstractNumId w:val="0"/>
  </w:num>
  <w:num w:numId="5" w16cid:durableId="16016449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0A5"/>
    <w:rsid w:val="00155172"/>
    <w:rsid w:val="004A7509"/>
    <w:rsid w:val="005D2138"/>
    <w:rsid w:val="00646EF0"/>
    <w:rsid w:val="00774E2A"/>
    <w:rsid w:val="00ED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17BFD"/>
  <w15:chartTrackingRefBased/>
  <w15:docId w15:val="{0EFDF397-83AB-42D0-8DFC-8ED4B756B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0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70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0A5"/>
  </w:style>
  <w:style w:type="paragraph" w:styleId="Footer">
    <w:name w:val="footer"/>
    <w:basedOn w:val="Normal"/>
    <w:link w:val="FooterChar"/>
    <w:uiPriority w:val="99"/>
    <w:unhideWhenUsed/>
    <w:rsid w:val="00ED70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0A5"/>
  </w:style>
  <w:style w:type="character" w:styleId="Hyperlink">
    <w:name w:val="Hyperlink"/>
    <w:basedOn w:val="DefaultParagraphFont"/>
    <w:uiPriority w:val="99"/>
    <w:unhideWhenUsed/>
    <w:rsid w:val="00ED70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0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healthcarelawmatters.foxrothschild.com/contact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hemonc.uw.edu/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virustreatmentcenter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Hofstad, Cory</dc:creator>
  <cp:keywords/>
  <dc:description/>
  <cp:lastModifiedBy>Hofstad, Cory</cp:lastModifiedBy>
  <cp:revision>1</cp:revision>
  <dcterms:created xsi:type="dcterms:W3CDTF">2026-01-31T16:44:00Z</dcterms:created>
  <dcterms:modified xsi:type="dcterms:W3CDTF">2026-01-31T16:54:00Z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2a8b02b3-d33c-4bb0-9d07-6f9fdb1ed59d</vt:lpwstr>
  </property>
</Properties>
</file>