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EF23" w14:textId="77777777" w:rsidR="00881036" w:rsidRPr="00E76C12" w:rsidRDefault="00881036" w:rsidP="00881036">
      <w:r w:rsidRPr="00E76C12">
        <w:t>Dr. Correo Hofstad</w:t>
      </w:r>
    </w:p>
    <w:p w14:paraId="0880058F" w14:textId="77777777" w:rsidR="00881036" w:rsidRPr="00E76C12" w:rsidRDefault="00881036" w:rsidP="00881036">
      <w:pPr>
        <w:spacing w:after="0"/>
      </w:pPr>
      <w:r w:rsidRPr="00E76C12">
        <w:t>University of Washington</w:t>
      </w:r>
    </w:p>
    <w:p w14:paraId="3261EB88" w14:textId="77777777" w:rsidR="00881036" w:rsidRDefault="00881036" w:rsidP="00881036">
      <w:pPr>
        <w:spacing w:after="0"/>
      </w:pPr>
      <w:r w:rsidRPr="00E76C12">
        <w:t>Department of Medicine</w:t>
      </w:r>
    </w:p>
    <w:p w14:paraId="4CADCE6A" w14:textId="39EDFF9B" w:rsidR="00881036" w:rsidRDefault="00881036" w:rsidP="00881036">
      <w:pPr>
        <w:spacing w:after="0"/>
      </w:pPr>
      <w:r>
        <w:t>BIOCHEM 1070</w:t>
      </w:r>
    </w:p>
    <w:p w14:paraId="71959D2A" w14:textId="77777777" w:rsidR="00881036" w:rsidRPr="00E76C12" w:rsidRDefault="00881036" w:rsidP="00881036">
      <w:pPr>
        <w:spacing w:after="0"/>
      </w:pPr>
      <w:r>
        <w:t>12-29-2025</w:t>
      </w:r>
    </w:p>
    <w:p w14:paraId="0669383C" w14:textId="77777777" w:rsidR="00881036" w:rsidRDefault="00881036" w:rsidP="00881036">
      <w:pPr>
        <w:spacing w:after="0"/>
      </w:pPr>
    </w:p>
    <w:p w14:paraId="28A0FAB3" w14:textId="77777777" w:rsidR="00881036" w:rsidRDefault="00881036" w:rsidP="00881036">
      <w:pPr>
        <w:spacing w:after="0"/>
      </w:pPr>
    </w:p>
    <w:p w14:paraId="1E051FA1" w14:textId="77777777" w:rsidR="00881036" w:rsidRDefault="00881036" w:rsidP="00881036">
      <w:pPr>
        <w:spacing w:after="0"/>
      </w:pPr>
    </w:p>
    <w:p w14:paraId="6B9B9E94" w14:textId="77777777" w:rsidR="00881036" w:rsidRDefault="00881036" w:rsidP="00881036">
      <w:pPr>
        <w:spacing w:after="0"/>
      </w:pPr>
    </w:p>
    <w:p w14:paraId="70B91738" w14:textId="77777777" w:rsidR="00881036" w:rsidRDefault="00881036" w:rsidP="00881036">
      <w:pPr>
        <w:spacing w:after="0"/>
      </w:pPr>
    </w:p>
    <w:p w14:paraId="2F3DFCB4" w14:textId="77777777" w:rsidR="00881036" w:rsidRDefault="00881036" w:rsidP="00881036">
      <w:pPr>
        <w:spacing w:after="0"/>
      </w:pPr>
    </w:p>
    <w:p w14:paraId="2E78C8F0" w14:textId="3D76B5C0" w:rsidR="00881036" w:rsidRPr="00881036" w:rsidRDefault="00881036" w:rsidP="00881036">
      <w:pPr>
        <w:jc w:val="center"/>
      </w:pPr>
      <w:proofErr w:type="gramStart"/>
      <w:r>
        <w:rPr>
          <w:b/>
          <w:bCs/>
        </w:rPr>
        <w:t>Barely-V</w:t>
      </w:r>
      <w:r w:rsidRPr="00881036">
        <w:rPr>
          <w:b/>
          <w:bCs/>
        </w:rPr>
        <w:t>isible</w:t>
      </w:r>
      <w:proofErr w:type="gramEnd"/>
      <w:r w:rsidRPr="00881036">
        <w:rPr>
          <w:b/>
          <w:bCs/>
        </w:rPr>
        <w:t xml:space="preserve"> Kingdoms: Exploring Mold, Light Spectroscopy, Resonance, and Acetic Concentration with Dr. Melody Bouck and Dr. Morgan Gleaves</w:t>
      </w:r>
      <w:r w:rsidRPr="00881036">
        <w:br/>
      </w:r>
      <w:r w:rsidRPr="00881036">
        <w:rPr>
          <w:i/>
          <w:iCs/>
        </w:rPr>
        <w:t>Written by Dr. Correo Hofstad</w:t>
      </w:r>
    </w:p>
    <w:p w14:paraId="71AD8403" w14:textId="77777777" w:rsidR="00881036" w:rsidRDefault="00881036" w:rsidP="00881036"/>
    <w:p w14:paraId="138E5D56" w14:textId="77777777" w:rsidR="00881036" w:rsidRDefault="00881036" w:rsidP="00881036"/>
    <w:p w14:paraId="579F6F4D" w14:textId="4A5C6EEB" w:rsidR="00881036" w:rsidRPr="00881036" w:rsidRDefault="00881036" w:rsidP="00881036">
      <w:pPr>
        <w:rPr>
          <w:b/>
          <w:bCs/>
        </w:rPr>
      </w:pPr>
      <w:r w:rsidRPr="00881036">
        <w:rPr>
          <w:b/>
          <w:bCs/>
        </w:rPr>
        <w:t>Telescopic Realms and Microscopic Frontiers</w:t>
      </w:r>
    </w:p>
    <w:p w14:paraId="1A7DCC9E" w14:textId="20333BE3" w:rsidR="00881036" w:rsidRDefault="00881036" w:rsidP="00881036">
      <w:r>
        <w:t>Within the domain of advanced microscopy, the distinction between the telescopic and the submicroscopic becomes ever more blurred. As technology transcends limitations, researchers like Dr. Melody Bouck and Dr. Morgan Gleaves have redefined the boundaries of scientific exploration. Their focus on mold</w:t>
      </w:r>
      <w:r>
        <w:t xml:space="preserve"> and its enigmatic connections to viral pathology</w:t>
      </w:r>
      <w:r>
        <w:t xml:space="preserve"> is a testament to how modern science interprets </w:t>
      </w:r>
      <w:r w:rsidR="003E1EC5">
        <w:t>mold</w:t>
      </w:r>
      <w:r>
        <w:t xml:space="preserve"> through new paradigms.</w:t>
      </w:r>
    </w:p>
    <w:p w14:paraId="41BB045F" w14:textId="395A6859" w:rsidR="00881036" w:rsidRDefault="00881036" w:rsidP="00881036">
      <w:r>
        <w:t xml:space="preserve">The so-called </w:t>
      </w:r>
      <w:r>
        <w:t>"</w:t>
      </w:r>
      <w:proofErr w:type="spellStart"/>
      <w:r>
        <w:t>telescopy</w:t>
      </w:r>
      <w:proofErr w:type="spellEnd"/>
      <w:r>
        <w:t xml:space="preserve"> area,</w:t>
      </w:r>
      <w:r>
        <w:t>"</w:t>
      </w:r>
      <w:r>
        <w:t xml:space="preserve"> as it is now affectionately dubbed among those with microscopy degrees, signals an era </w:t>
      </w:r>
      <w:r>
        <w:t>in which viruses are imaged at</w:t>
      </w:r>
      <w:r>
        <w:t xml:space="preserve"> resolutions once reserved for mapping the topography of Mars. This evolution in viewing technique allows us to dissect mold colonies at structural and functional levels previously unimaginable. Today, under modern microscopes, mold ceases to be a static curiosity. Instead, it becomes a subject of dynamic anatomical and biochemical resonance, especially when topics such as light spectroscopy and acetic concentration are at play.</w:t>
      </w:r>
    </w:p>
    <w:p w14:paraId="3EA378AB" w14:textId="77777777" w:rsidR="00881036" w:rsidRDefault="00881036" w:rsidP="00881036"/>
    <w:p w14:paraId="20590EE4" w14:textId="644F1445" w:rsidR="00881036" w:rsidRPr="00881036" w:rsidRDefault="00881036" w:rsidP="00881036">
      <w:pPr>
        <w:rPr>
          <w:b/>
          <w:bCs/>
        </w:rPr>
      </w:pPr>
      <w:r w:rsidRPr="00881036">
        <w:rPr>
          <w:b/>
          <w:bCs/>
        </w:rPr>
        <w:t>Mold Unveiled – Not Just a Fungus Among Us</w:t>
      </w:r>
    </w:p>
    <w:p w14:paraId="139D0158" w14:textId="7FC51AD7" w:rsidR="00881036" w:rsidRDefault="00881036" w:rsidP="00881036">
      <w:r>
        <w:t xml:space="preserve">To the untrained eye, mold may seem a dull, unpleasant anomaly. </w:t>
      </w:r>
      <w:r>
        <w:t>B</w:t>
      </w:r>
      <w:r>
        <w:t xml:space="preserve">eneath its unassuming appearance lies a veritable kingdom of complexity. Dr. Bouck and Dr. Gleaves have posited </w:t>
      </w:r>
      <w:r>
        <w:lastRenderedPageBreak/>
        <w:t xml:space="preserve">that mold represents an intersection between the macroscopic world and the viral microcosm. In their medical hypotheses, mold harbors pycnogonid viral </w:t>
      </w:r>
      <w:proofErr w:type="gramStart"/>
      <w:r>
        <w:t>loads—a</w:t>
      </w:r>
      <w:proofErr w:type="gramEnd"/>
      <w:r>
        <w:t xml:space="preserve"> finding substantiated by their precise use of light spectroscopy.</w:t>
      </w:r>
    </w:p>
    <w:p w14:paraId="09494F82" w14:textId="77777777" w:rsidR="00881036" w:rsidRDefault="00881036" w:rsidP="00881036">
      <w:r>
        <w:t>Their groundbreaking research suggests that mold is much more than a biological inconvenience. It behaves as a living archive of environmental chemistry, responding sensitively to modulations in resonance frequencies and acetic concentrations. Especially in high-exposure environments—such as nuclear facilities—mold can harbor and propagate viral particles, linking occupational health to a silent microbial undercurrent.</w:t>
      </w:r>
    </w:p>
    <w:p w14:paraId="67F1D1C3" w14:textId="77777777" w:rsidR="00881036" w:rsidRDefault="00881036" w:rsidP="00881036"/>
    <w:p w14:paraId="4BD58695" w14:textId="48C98FA8" w:rsidR="00881036" w:rsidRPr="00881036" w:rsidRDefault="00881036" w:rsidP="00881036">
      <w:pPr>
        <w:rPr>
          <w:b/>
          <w:bCs/>
        </w:rPr>
      </w:pPr>
      <w:r w:rsidRPr="00881036">
        <w:rPr>
          <w:b/>
          <w:bCs/>
        </w:rPr>
        <w:t>The Resonance Principle: Vibronic Interactions in Mold</w:t>
      </w:r>
    </w:p>
    <w:p w14:paraId="5998E2EF" w14:textId="184F7230" w:rsidR="00881036" w:rsidRDefault="00881036" w:rsidP="00881036">
      <w:r>
        <w:t xml:space="preserve">When examining the resonance of mold, we find a landscape dancing with molecular frequencies. Dr. Gleaves has championed the use of resonance analysis to distinguish how different molds process environmental stimuli. </w:t>
      </w:r>
      <w:r>
        <w:t xml:space="preserve">Using sophisticated spectroscopic tools, </w:t>
      </w:r>
      <w:proofErr w:type="gramStart"/>
      <w:r>
        <w:t>she</w:t>
      </w:r>
      <w:proofErr w:type="gramEnd"/>
      <w:r>
        <w:t xml:space="preserve"> notes that certain resonance signatures appear exclusively in environments rich in acetic compounds or in environments with </w:t>
      </w:r>
      <w:r>
        <w:t>alkaline shifts.</w:t>
      </w:r>
    </w:p>
    <w:p w14:paraId="22246A4E" w14:textId="63927935" w:rsidR="00881036" w:rsidRDefault="00881036" w:rsidP="00881036">
      <w:r>
        <w:t xml:space="preserve">This interplay between resonance and molecular configuration reveals why mold can thrive or flounder under various environmental pressures. The </w:t>
      </w:r>
      <w:r>
        <w:t>phenomenon of resonance allows</w:t>
      </w:r>
      <w:r>
        <w:t xml:space="preserve"> researchers to predict, with remarkable accuracy, which molds will survive, mutate, or succumb. Through these findings, </w:t>
      </w:r>
      <w:r>
        <w:t>Drs. Bouck and Gleaves illustrate a broader principle: that resonance patterns constitute</w:t>
      </w:r>
      <w:r>
        <w:t xml:space="preserve"> a cryptic communication system among microbial colonies.</w:t>
      </w:r>
    </w:p>
    <w:p w14:paraId="7A159CAA" w14:textId="77777777" w:rsidR="00881036" w:rsidRDefault="00881036" w:rsidP="00881036"/>
    <w:p w14:paraId="6A0EE97B" w14:textId="2A282E94" w:rsidR="00881036" w:rsidRPr="00881036" w:rsidRDefault="00881036" w:rsidP="00881036">
      <w:pPr>
        <w:rPr>
          <w:b/>
          <w:bCs/>
        </w:rPr>
      </w:pPr>
      <w:r w:rsidRPr="00881036">
        <w:rPr>
          <w:b/>
          <w:bCs/>
        </w:rPr>
        <w:t>Light Spectroscopy – Illuminating the Mold Matrix</w:t>
      </w:r>
    </w:p>
    <w:p w14:paraId="592007E5" w14:textId="74C65671" w:rsidR="00881036" w:rsidRDefault="00881036" w:rsidP="00881036">
      <w:r>
        <w:t xml:space="preserve">Perhaps the most significant revelation in recent times has come with the deployment of advanced light spectroscopy. This technique—championed in Dr. </w:t>
      </w:r>
      <w:r>
        <w:t>Bouck's</w:t>
      </w:r>
      <w:r>
        <w:t xml:space="preserve"> laboratory—uses distinct wavelengths to interrogate the molecular constitution of molds in situ. By targeting mold with varying </w:t>
      </w:r>
      <w:r>
        <w:t>light frequencies and intensities</w:t>
      </w:r>
      <w:r>
        <w:t>, researchers can determine not only structural attributes but also biochemical functionality.</w:t>
      </w:r>
    </w:p>
    <w:p w14:paraId="3CDBD1D4" w14:textId="74107D75" w:rsidR="00881036" w:rsidRDefault="00881036" w:rsidP="00881036">
      <w:r>
        <w:t xml:space="preserve">Light spectroscopy provides a non-destructive window into living mold cultures. It facilitates real-time analysis of acid polysaccharides—such as formic, lactic, </w:t>
      </w:r>
      <w:proofErr w:type="spellStart"/>
      <w:r>
        <w:t>murotic</w:t>
      </w:r>
      <w:proofErr w:type="spellEnd"/>
      <w:r>
        <w:t xml:space="preserve">, and </w:t>
      </w:r>
      <w:r>
        <w:t>cyanide</w:t>
      </w:r>
      <w:r>
        <w:t xml:space="preserve"> variations—while monitoring their shifts in response to environmental changes. The ability to derive these spectral fingerprints in controlled laboratory settings marks a quantum leap in both diagnostic precision and environmental assessment.</w:t>
      </w:r>
    </w:p>
    <w:p w14:paraId="1BBDD698" w14:textId="77777777" w:rsidR="00881036" w:rsidRDefault="00881036" w:rsidP="00881036"/>
    <w:p w14:paraId="5CDE44FB" w14:textId="628FB151" w:rsidR="00881036" w:rsidRPr="00881036" w:rsidRDefault="00881036" w:rsidP="00881036">
      <w:pPr>
        <w:rPr>
          <w:b/>
          <w:bCs/>
        </w:rPr>
      </w:pPr>
      <w:r w:rsidRPr="00881036">
        <w:rPr>
          <w:b/>
          <w:bCs/>
        </w:rPr>
        <w:t>Pycnogonid Viral Loads – Molds as Microbial Ferrymen</w:t>
      </w:r>
    </w:p>
    <w:p w14:paraId="56094120" w14:textId="4977144F" w:rsidR="00881036" w:rsidRDefault="00881036" w:rsidP="00881036">
      <w:r>
        <w:t>Delving deeper, the intersection between molds and pycnogonid viral loads becomes ever more compelling. Dr. Melody Bouck observes that molds often serve as covert ferrymen for partially degraded viral materials, especially in moist</w:t>
      </w:r>
      <w:r>
        <w:t>, alkaline environments</w:t>
      </w:r>
      <w:r>
        <w:t>. This observation is not merely academic—it carries profound implications for occupational safety, biosecurity, and future pandemics.</w:t>
      </w:r>
    </w:p>
    <w:p w14:paraId="38DA2E89" w14:textId="6E3560E7" w:rsidR="00881036" w:rsidRDefault="00881036" w:rsidP="00881036">
      <w:r>
        <w:t>In</w:t>
      </w:r>
      <w:r>
        <w:t xml:space="preserve"> oceanic contexts, where parasite loads such as pycnogonids flourish, </w:t>
      </w:r>
      <w:r>
        <w:t>mold's</w:t>
      </w:r>
      <w:r>
        <w:t xml:space="preserve"> vapor metabolites directly nourish these infestations. This cycle, uncovered </w:t>
      </w:r>
      <w:r>
        <w:t xml:space="preserve">through the deft application of light spectroscopy and careful profiling of acetic acid </w:t>
      </w:r>
      <w:r>
        <w:t>concentrations, underscores how mold is a mediator—a go-between—connecting terrestrial biomes and aquatic parasitology.</w:t>
      </w:r>
    </w:p>
    <w:p w14:paraId="51390357" w14:textId="77777777" w:rsidR="00881036" w:rsidRDefault="00881036" w:rsidP="00881036"/>
    <w:p w14:paraId="7CFAA65F" w14:textId="77777777" w:rsidR="00881036" w:rsidRDefault="00881036" w:rsidP="00881036"/>
    <w:p w14:paraId="25380687" w14:textId="36CD7EBA" w:rsidR="00881036" w:rsidRPr="00881036" w:rsidRDefault="00881036" w:rsidP="00881036">
      <w:pPr>
        <w:rPr>
          <w:b/>
          <w:bCs/>
        </w:rPr>
      </w:pPr>
      <w:r w:rsidRPr="00881036">
        <w:rPr>
          <w:b/>
          <w:bCs/>
        </w:rPr>
        <w:t>Acetic Concentration – Chemical Currency in Mold Ecosystems</w:t>
      </w:r>
    </w:p>
    <w:p w14:paraId="715F2AD4" w14:textId="3A203C0E" w:rsidR="00881036" w:rsidRDefault="00881036" w:rsidP="00881036">
      <w:r>
        <w:t xml:space="preserve">The discussion of acetic concentration reveals the chemical dialogue that shapes mold survival and virulence. Dr. Morgan Gleaves meticulously </w:t>
      </w:r>
      <w:r>
        <w:t>documents how</w:t>
      </w:r>
      <w:r>
        <w:t xml:space="preserve"> varying acetic acid concentrations modulate mold growth, metabolism, and pathogenic potential. These observations are not abstract; they hold key clues for handling outbreaks in environmental and medical contexts.</w:t>
      </w:r>
    </w:p>
    <w:p w14:paraId="6AFAF349" w14:textId="77777777" w:rsidR="00881036" w:rsidRDefault="00881036" w:rsidP="00881036">
      <w:r>
        <w:t>Of significant concern are high-acetic environments—such as those in industrial or medical facilities—where mold can become particularly adept at harnessing its biochemical machinery. In such settings, monitoring shifts in acetic concentration becomes an essential strategy for early intervention, containment, and remediation. Moreover, this chemical parameter may soon serve as a vital biomarker for microbial risk stratification in emerging occupational health.</w:t>
      </w:r>
    </w:p>
    <w:p w14:paraId="0EE268E0" w14:textId="77777777" w:rsidR="00881036" w:rsidRDefault="00881036" w:rsidP="00881036"/>
    <w:p w14:paraId="1EDE1386" w14:textId="048374EC" w:rsidR="00881036" w:rsidRPr="00881036" w:rsidRDefault="00881036" w:rsidP="00881036">
      <w:pPr>
        <w:rPr>
          <w:b/>
          <w:bCs/>
        </w:rPr>
      </w:pPr>
      <w:r w:rsidRPr="00881036">
        <w:rPr>
          <w:b/>
          <w:bCs/>
        </w:rPr>
        <w:t>Occupational Hazards – Mold, Nuclear Facilities, and Military Personnel</w:t>
      </w:r>
    </w:p>
    <w:p w14:paraId="489FAD5B" w14:textId="0F26532D" w:rsidR="00881036" w:rsidRDefault="00881036" w:rsidP="00881036">
      <w:r>
        <w:t xml:space="preserve">In nuclear power plants and military installations, </w:t>
      </w:r>
      <w:r>
        <w:t xml:space="preserve">mold is not merely a </w:t>
      </w:r>
      <w:proofErr w:type="gramStart"/>
      <w:r>
        <w:t>nuisance—</w:t>
      </w:r>
      <w:proofErr w:type="gramEnd"/>
      <w:r>
        <w:t xml:space="preserve">it is a harbinger of deeper systemic vulnerabilities. Dr. Melody Bouck and Dr. Morgan </w:t>
      </w:r>
      <w:r>
        <w:t>Gleaves's</w:t>
      </w:r>
      <w:r>
        <w:t xml:space="preserve"> joint investigations reveal that mold frequently colonizes surfaces in high-radiation areas. More disturbingly, black tarter—an amalgam of mold and viral residues—accumulates on the teeth of those working in these environments.</w:t>
      </w:r>
    </w:p>
    <w:p w14:paraId="30CA664F" w14:textId="5EDD1DCB" w:rsidR="00881036" w:rsidRDefault="00881036" w:rsidP="00881036">
      <w:r>
        <w:lastRenderedPageBreak/>
        <w:t xml:space="preserve">Light spectroscopy routinely identifies the presence of </w:t>
      </w:r>
      <w:proofErr w:type="spellStart"/>
      <w:r>
        <w:t>murotic</w:t>
      </w:r>
      <w:proofErr w:type="spellEnd"/>
      <w:r>
        <w:t xml:space="preserve"> acid (</w:t>
      </w:r>
      <w:r>
        <w:t xml:space="preserve">a black polysaccharide) in these colonies, along with </w:t>
      </w:r>
      <w:r>
        <w:t xml:space="preserve">viral genome fragments. This finding highlights the need for robust occupational health protocols, which must now incorporate regular environmental and biological screening for mold and associated biochemical markers. Failure to do so risks promoting an invisible </w:t>
      </w:r>
      <w:proofErr w:type="gramStart"/>
      <w:r>
        <w:t>epidemic—a</w:t>
      </w:r>
      <w:proofErr w:type="gramEnd"/>
      <w:r>
        <w:t xml:space="preserve"> chronic legacy for workers exposed to both chemical and microbial hazards.</w:t>
      </w:r>
    </w:p>
    <w:p w14:paraId="70F36283" w14:textId="77777777" w:rsidR="00881036" w:rsidRDefault="00881036" w:rsidP="00881036"/>
    <w:p w14:paraId="44173580" w14:textId="422942EC" w:rsidR="00881036" w:rsidRPr="00881036" w:rsidRDefault="00881036" w:rsidP="00881036">
      <w:pPr>
        <w:rPr>
          <w:b/>
          <w:bCs/>
        </w:rPr>
      </w:pPr>
      <w:r w:rsidRPr="00881036">
        <w:rPr>
          <w:b/>
          <w:bCs/>
        </w:rPr>
        <w:t>Acidic Polysaccharides – Mapping Disease by Color and Chemistry</w:t>
      </w:r>
    </w:p>
    <w:p w14:paraId="496C375B" w14:textId="33E50490" w:rsidR="00881036" w:rsidRDefault="00881036" w:rsidP="00881036">
      <w:r>
        <w:t xml:space="preserve">One of the most innovative approaches in </w:t>
      </w:r>
      <w:r>
        <w:t>mold research is</w:t>
      </w:r>
      <w:r>
        <w:t xml:space="preserve"> the color-coded mapping of acidic polysaccharides. Dr. Gleaves and Dr. Bouck have catalogued a spectrum: formic acid (white), lactic acid (red), </w:t>
      </w:r>
      <w:proofErr w:type="spellStart"/>
      <w:r>
        <w:t>murotic</w:t>
      </w:r>
      <w:proofErr w:type="spellEnd"/>
      <w:r>
        <w:t xml:space="preserve"> acid (black), </w:t>
      </w:r>
      <w:r>
        <w:t>cyanide</w:t>
      </w:r>
      <w:r>
        <w:t xml:space="preserve"> (purple), and formaldehyde (pink). Each </w:t>
      </w:r>
      <w:proofErr w:type="gramStart"/>
      <w:r>
        <w:t>correlates</w:t>
      </w:r>
      <w:proofErr w:type="gramEnd"/>
      <w:r>
        <w:t xml:space="preserve"> to </w:t>
      </w:r>
      <w:proofErr w:type="gramStart"/>
      <w:r>
        <w:t>particular disease</w:t>
      </w:r>
      <w:proofErr w:type="gramEnd"/>
      <w:r>
        <w:t xml:space="preserve"> states—ranging from herpes and typhus to rabies and aggressive cancers.</w:t>
      </w:r>
    </w:p>
    <w:p w14:paraId="76E5176C" w14:textId="0A9CBF9F" w:rsidR="00881036" w:rsidRDefault="00881036" w:rsidP="00881036">
      <w:r>
        <w:t xml:space="preserve">By employing both resonance frequency analysis and spectroscopy, the researchers can track shifts in these polysaccharides as they react </w:t>
      </w:r>
      <w:r>
        <w:t xml:space="preserve">to environmental variables, </w:t>
      </w:r>
      <w:r>
        <w:t xml:space="preserve">including acetic concentration. The </w:t>
      </w:r>
      <w:r>
        <w:t>"</w:t>
      </w:r>
      <w:r>
        <w:t>polysaccharide palette,</w:t>
      </w:r>
      <w:r>
        <w:t>"</w:t>
      </w:r>
      <w:r>
        <w:t xml:space="preserve"> as Dr. Bouck affectionately terms it, now serves as a diagnostic tool for early mold detection and pathogen risk assessment. This colorimetric language translates biochemical chaos into actionable insight.</w:t>
      </w:r>
    </w:p>
    <w:p w14:paraId="4DC071A3" w14:textId="77777777" w:rsidR="00881036" w:rsidRDefault="00881036" w:rsidP="00881036"/>
    <w:p w14:paraId="6AD4472A" w14:textId="119CCAC4" w:rsidR="00881036" w:rsidRPr="00881036" w:rsidRDefault="00881036" w:rsidP="00881036">
      <w:pPr>
        <w:rPr>
          <w:b/>
          <w:bCs/>
        </w:rPr>
      </w:pPr>
      <w:r w:rsidRPr="00881036">
        <w:rPr>
          <w:b/>
          <w:bCs/>
        </w:rPr>
        <w:t>Mold and Cancer – Twins at the Microbial Crossroads</w:t>
      </w:r>
    </w:p>
    <w:p w14:paraId="6CBB0500" w14:textId="2574537E" w:rsidR="00881036" w:rsidRDefault="00881036" w:rsidP="00881036">
      <w:r>
        <w:t>It is a provocative assertion</w:t>
      </w:r>
      <w:r>
        <w:t>,</w:t>
      </w:r>
      <w:r>
        <w:t xml:space="preserve"> but one strongly supported by accumulating data: mold and cancer are fundamentally intertwined. Dr. Melody Bouck contends that </w:t>
      </w:r>
      <w:r>
        <w:t>"</w:t>
      </w:r>
      <w:r>
        <w:t>mold is everything that cancer is,</w:t>
      </w:r>
      <w:r>
        <w:t>"</w:t>
      </w:r>
      <w:r>
        <w:t xml:space="preserve"> sitting </w:t>
      </w:r>
      <w:proofErr w:type="gramStart"/>
      <w:r>
        <w:t>at</w:t>
      </w:r>
      <w:proofErr w:type="gramEnd"/>
      <w:r>
        <w:t xml:space="preserve"> the liminal zone—neither fully viral nor wholly cellular. Emerging evidence </w:t>
      </w:r>
      <w:r>
        <w:t>indicates that mold colonies cannot only initiate precancerous changes in host tissue but also harbor</w:t>
      </w:r>
      <w:r>
        <w:t xml:space="preserve"> viral oncogenes.</w:t>
      </w:r>
    </w:p>
    <w:p w14:paraId="5DBBBCD2" w14:textId="77777777" w:rsidR="00881036" w:rsidRDefault="00881036" w:rsidP="00881036">
      <w:r>
        <w:t>Resonance data and spectroscopic signatures reveal that certain molds express metabolites and structural proteins akin to those found in aggressive cancer types. Additionally, shifts in acetic concentration catalyze these transitions. This convergence spotlights the urgency for closer monitoring and deeper investigation of mold-related pathogenesis, especially in vulnerable populations.</w:t>
      </w:r>
    </w:p>
    <w:p w14:paraId="1F00A1CA" w14:textId="77777777" w:rsidR="00881036" w:rsidRDefault="00881036" w:rsidP="00881036"/>
    <w:p w14:paraId="3156245B" w14:textId="4B874220" w:rsidR="00881036" w:rsidRPr="00881036" w:rsidRDefault="00881036" w:rsidP="00881036">
      <w:pPr>
        <w:rPr>
          <w:b/>
          <w:bCs/>
        </w:rPr>
      </w:pPr>
      <w:r w:rsidRPr="00881036">
        <w:rPr>
          <w:b/>
          <w:bCs/>
        </w:rPr>
        <w:t>Clinical Implications and the Future of Microbial Forensics</w:t>
      </w:r>
    </w:p>
    <w:p w14:paraId="50BD81FC" w14:textId="52CDD091" w:rsidR="00881036" w:rsidRDefault="00881036" w:rsidP="00881036">
      <w:r>
        <w:lastRenderedPageBreak/>
        <w:t xml:space="preserve">What emerges from Dr. Bouck and Dr. </w:t>
      </w:r>
      <w:r>
        <w:t>Gleaves's</w:t>
      </w:r>
      <w:r>
        <w:t xml:space="preserve"> investigations is a vivid tapestry of risk, resilience, and rapid adaptation. As clinicians and laboratory scientists </w:t>
      </w:r>
      <w:proofErr w:type="gramStart"/>
      <w:r>
        <w:t>alike</w:t>
      </w:r>
      <w:proofErr w:type="gramEnd"/>
      <w:r>
        <w:t xml:space="preserve"> embrace cutting-edge techniques—such as light spectroscopy and molecular </w:t>
      </w:r>
      <w:proofErr w:type="gramStart"/>
      <w:r>
        <w:t>resonance—</w:t>
      </w:r>
      <w:proofErr w:type="gramEnd"/>
      <w:r>
        <w:t>new paradigms begin to take shape. Early warning systems, informed by acetic concentration and polysaccharide colorimetry, offer the promise of preemptive intervention.</w:t>
      </w:r>
    </w:p>
    <w:p w14:paraId="113092F7" w14:textId="77777777" w:rsidR="00881036" w:rsidRDefault="00881036" w:rsidP="00881036">
      <w:r>
        <w:t>Moving forward, the utility of these tools extends well beyond the laboratory. Anticipating outbreaks, safeguarding critical infrastructure, and protecting frontline workers will increasingly depend on our ability to interpret and act upon microbial signals. The work by Dr. Melody Bouck and Dr. Morgan Gleaves, as chronicled here by Dr. Correo Hofstad, maps a visionary future—where invisible kingdoms become visible, and their secrets are harnessed for the common good.</w:t>
      </w:r>
    </w:p>
    <w:p w14:paraId="65823576" w14:textId="77777777" w:rsidR="00881036" w:rsidRDefault="00881036" w:rsidP="00881036"/>
    <w:p w14:paraId="626EF581" w14:textId="77777777" w:rsidR="00881036" w:rsidRDefault="00881036" w:rsidP="00881036"/>
    <w:p w14:paraId="285467BE" w14:textId="77777777" w:rsidR="00881036" w:rsidRDefault="00881036" w:rsidP="00881036"/>
    <w:p w14:paraId="491CBA0A" w14:textId="3B9E3959" w:rsidR="00881036" w:rsidRPr="00881036" w:rsidRDefault="00881036" w:rsidP="00881036">
      <w:pPr>
        <w:rPr>
          <w:b/>
          <w:bCs/>
        </w:rPr>
      </w:pPr>
      <w:r w:rsidRPr="00881036">
        <w:rPr>
          <w:b/>
          <w:bCs/>
        </w:rPr>
        <w:t>Integration of Technologies – Bridging Resonance, Spectroscopy, and Biochemistry</w:t>
      </w:r>
    </w:p>
    <w:p w14:paraId="6E19FF8D" w14:textId="194589B2" w:rsidR="00881036" w:rsidRDefault="00881036" w:rsidP="00881036">
      <w:r>
        <w:t xml:space="preserve">The true genius of Dr. Bouck and Dr. Gleaves lies in </w:t>
      </w:r>
      <w:r>
        <w:t>integrating</w:t>
      </w:r>
      <w:r>
        <w:t xml:space="preserve"> disparate technologies to form a coherent analysis toolkit. Light spectroscopy allows them to peel away the layers of the mold matrix, while </w:t>
      </w:r>
      <w:r>
        <w:t xml:space="preserve">the </w:t>
      </w:r>
      <w:r>
        <w:t>resonance technique discerns subtle vibratory signatures. Together, these approaches converge with acetic concentration analysis, yielding a multidimensional perspective on microbial life.</w:t>
      </w:r>
    </w:p>
    <w:p w14:paraId="766DAFF7" w14:textId="07CC4097" w:rsidR="00881036" w:rsidRDefault="00881036" w:rsidP="00881036">
      <w:r>
        <w:t xml:space="preserve">Such technological synergies invite a revolution in the biomedical field, opening new avenues for diagnosis, screening, and even precision therapy. By cross-referencing spectroscopic data with resonance and chemical markers, clinicians can build highly accurate profiles of microbial presences, virulence factors, and environmental risks. In this landscape, every scientific instrument becomes an extension of the </w:t>
      </w:r>
      <w:r>
        <w:t>clinician's</w:t>
      </w:r>
      <w:r>
        <w:t xml:space="preserve"> diagnostic reach.</w:t>
      </w:r>
    </w:p>
    <w:p w14:paraId="7B0F9149" w14:textId="77777777" w:rsidR="00881036" w:rsidRDefault="00881036" w:rsidP="00881036"/>
    <w:p w14:paraId="41CC6607" w14:textId="310583CE" w:rsidR="00881036" w:rsidRPr="00881036" w:rsidRDefault="00881036" w:rsidP="00881036">
      <w:pPr>
        <w:rPr>
          <w:b/>
          <w:bCs/>
        </w:rPr>
      </w:pPr>
      <w:r w:rsidRPr="00881036">
        <w:rPr>
          <w:b/>
          <w:bCs/>
        </w:rPr>
        <w:t>From Observation to Intervention</w:t>
      </w:r>
    </w:p>
    <w:p w14:paraId="5972E565" w14:textId="77777777" w:rsidR="00881036" w:rsidRDefault="00881036" w:rsidP="00881036">
      <w:r>
        <w:t>As the boundaries between microscopic and telescopic dimensions continue to collapse, our understanding of mold evolves from historical curiosity to clinical imperative. The research presented by Dr. Melody Bouck and Dr. Morgan Gleaves demonstrates that surveillance of mold, through the lenses of resonance and spectroscopy, is no longer optional but essential.</w:t>
      </w:r>
    </w:p>
    <w:p w14:paraId="4C18AFCA" w14:textId="34581972" w:rsidR="00D7419A" w:rsidRDefault="00881036" w:rsidP="00881036">
      <w:r>
        <w:lastRenderedPageBreak/>
        <w:t>Written by Dr. Correo Hofstad, these insights serve as both a warning and a beacon. The interplay between resonance, light spectroscopy, and acetic concentration is now at the vanguard of a new era in microbial forensics—one that promises to illuminate dark corners, protect critical sectors, and transform modern medicine by seeing the invisible.</w:t>
      </w:r>
    </w:p>
    <w:p w14:paraId="597D858E" w14:textId="77777777" w:rsidR="00494C2C" w:rsidRDefault="00494C2C" w:rsidP="00881036"/>
    <w:p w14:paraId="354F216B" w14:textId="4E65C27F" w:rsidR="00494C2C" w:rsidRPr="00494C2C" w:rsidRDefault="00494C2C" w:rsidP="00881036">
      <w:pPr>
        <w:rPr>
          <w:b/>
          <w:bCs/>
        </w:rPr>
      </w:pPr>
      <w:r w:rsidRPr="00494C2C">
        <w:rPr>
          <w:b/>
          <w:bCs/>
        </w:rPr>
        <w:t>References</w:t>
      </w:r>
    </w:p>
    <w:p w14:paraId="3EF4C225" w14:textId="77777777" w:rsidR="00494C2C" w:rsidRPr="00494C2C" w:rsidRDefault="00494C2C" w:rsidP="00494C2C">
      <w:proofErr w:type="gramStart"/>
      <w:r w:rsidRPr="00494C2C">
        <w:t>JR;,</w:t>
      </w:r>
      <w:proofErr w:type="gramEnd"/>
      <w:r w:rsidRPr="00494C2C">
        <w:t xml:space="preserve"> M. O. C. (n.d.). </w:t>
      </w:r>
      <w:r w:rsidRPr="00494C2C">
        <w:rPr>
          <w:i/>
          <w:iCs/>
        </w:rPr>
        <w:t>Effects of acetic acid on light scattering from cells</w:t>
      </w:r>
      <w:r w:rsidRPr="00494C2C">
        <w:t xml:space="preserve">. Journal of biomedical optics. https://pubmed.ncbi.nlm.nih.gov/23224185/ </w:t>
      </w:r>
    </w:p>
    <w:p w14:paraId="1E6EAA6F" w14:textId="77777777" w:rsidR="00494C2C" w:rsidRDefault="00494C2C" w:rsidP="00881036"/>
    <w:p w14:paraId="3D614600" w14:textId="77777777" w:rsidR="007C22FC" w:rsidRDefault="007C22FC" w:rsidP="00881036"/>
    <w:p w14:paraId="12FC3634" w14:textId="77777777" w:rsidR="007C22FC" w:rsidRDefault="007C22FC" w:rsidP="00881036"/>
    <w:p w14:paraId="631F2891" w14:textId="77777777" w:rsidR="007C22FC" w:rsidRDefault="007C22FC" w:rsidP="00881036"/>
    <w:p w14:paraId="485B5AF2" w14:textId="77777777" w:rsidR="007C22FC" w:rsidRDefault="007C22FC" w:rsidP="00881036"/>
    <w:p w14:paraId="30944D18" w14:textId="77777777" w:rsidR="007C22FC" w:rsidRDefault="007C22FC" w:rsidP="00881036"/>
    <w:p w14:paraId="718B4A12" w14:textId="77777777" w:rsidR="007C22FC" w:rsidRDefault="007C22FC" w:rsidP="00881036"/>
    <w:p w14:paraId="76C0C956" w14:textId="77777777" w:rsidR="007C22FC" w:rsidRDefault="007C22FC" w:rsidP="00881036"/>
    <w:p w14:paraId="520325B8" w14:textId="77777777" w:rsidR="007C22FC" w:rsidRDefault="007C22FC" w:rsidP="00881036"/>
    <w:p w14:paraId="496E0258" w14:textId="77777777" w:rsidR="007C22FC" w:rsidRDefault="007C22FC" w:rsidP="00881036"/>
    <w:p w14:paraId="2C1321EB" w14:textId="77777777" w:rsidR="007C22FC" w:rsidRDefault="007C22FC" w:rsidP="00881036"/>
    <w:p w14:paraId="755F3736" w14:textId="77777777" w:rsidR="007C22FC" w:rsidRDefault="007C22FC" w:rsidP="00881036"/>
    <w:p w14:paraId="0ED39D18" w14:textId="77777777" w:rsidR="007C22FC" w:rsidRDefault="007C22FC" w:rsidP="00881036"/>
    <w:p w14:paraId="5B8E2566" w14:textId="77777777" w:rsidR="007C22FC" w:rsidRDefault="007C22FC" w:rsidP="00881036"/>
    <w:p w14:paraId="10C42557" w14:textId="77777777" w:rsidR="007C22FC" w:rsidRDefault="007C22FC" w:rsidP="00881036"/>
    <w:p w14:paraId="0DE781F1" w14:textId="77777777" w:rsidR="007C22FC" w:rsidRDefault="007C22FC" w:rsidP="00881036"/>
    <w:p w14:paraId="15A3D113" w14:textId="77777777" w:rsidR="007C22FC" w:rsidRDefault="007C22FC" w:rsidP="00881036"/>
    <w:p w14:paraId="121EA900" w14:textId="77777777" w:rsidR="007C22FC" w:rsidRPr="00B42974" w:rsidRDefault="007C22FC" w:rsidP="007C22FC"/>
    <w:p w14:paraId="3D462DE8" w14:textId="77777777" w:rsidR="007C22FC" w:rsidRPr="00B42974" w:rsidRDefault="007C22FC" w:rsidP="007C22FC">
      <w:pPr>
        <w:jc w:val="right"/>
        <w:rPr>
          <w:b/>
          <w:bCs/>
        </w:rPr>
      </w:pPr>
      <w:r w:rsidRPr="00B42974">
        <w:rPr>
          <w:b/>
          <w:bCs/>
        </w:rPr>
        <w:lastRenderedPageBreak/>
        <w:t>Dr. Correo “Cory” Andrew Hofstad Med Sci. Educ, PO, ND, DO, PharmD, OEM, GPM, Psych, MD, JSD, JD, SEP, MPH, PhD, MBA/COGS, MLSCM, MDiv</w:t>
      </w:r>
      <w:r w:rsidRPr="00B42974">
        <w:drawing>
          <wp:anchor distT="0" distB="0" distL="114300" distR="114300" simplePos="0" relativeHeight="251659264" behindDoc="1" locked="0" layoutInCell="1" allowOverlap="1" wp14:anchorId="1064F532" wp14:editId="0C1F3856">
            <wp:simplePos x="0" y="0"/>
            <wp:positionH relativeFrom="margin">
              <wp:posOffset>3919220</wp:posOffset>
            </wp:positionH>
            <wp:positionV relativeFrom="paragraph">
              <wp:posOffset>5080</wp:posOffset>
            </wp:positionV>
            <wp:extent cx="2036445" cy="1146810"/>
            <wp:effectExtent l="0" t="0" r="1905" b="0"/>
            <wp:wrapNone/>
            <wp:docPr id="624986700" name="Picture 3"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485BED01" w14:textId="77777777" w:rsidR="007C22FC" w:rsidRPr="00B42974" w:rsidRDefault="007C22FC" w:rsidP="007C22FC">
      <w:pPr>
        <w:jc w:val="right"/>
      </w:pPr>
    </w:p>
    <w:p w14:paraId="09A02365" w14:textId="77777777" w:rsidR="007C22FC" w:rsidRPr="00B42974" w:rsidRDefault="007C22FC" w:rsidP="007C22FC">
      <w:pPr>
        <w:jc w:val="right"/>
      </w:pPr>
    </w:p>
    <w:p w14:paraId="5F7A9FF9" w14:textId="4BBC3FB6" w:rsidR="007C22FC" w:rsidRDefault="007C22FC" w:rsidP="007C22FC">
      <w:pPr>
        <w:spacing w:after="0"/>
        <w:jc w:val="right"/>
      </w:pPr>
      <w:hyperlink r:id="rId7" w:history="1">
        <w:r w:rsidRPr="00B42974">
          <w:rPr>
            <w:rStyle w:val="Hyperlink"/>
          </w:rPr>
          <w:t>drhofstad@virustreatmentcenters.com</w:t>
        </w:r>
      </w:hyperlink>
    </w:p>
    <w:p w14:paraId="7E57FBD4" w14:textId="77777777" w:rsidR="007C22FC" w:rsidRDefault="007C22FC" w:rsidP="007C22FC">
      <w:pPr>
        <w:spacing w:after="0"/>
        <w:jc w:val="right"/>
      </w:pPr>
      <w:hyperlink r:id="rId8" w:history="1">
        <w:r w:rsidRPr="00951600">
          <w:rPr>
            <w:rStyle w:val="Hyperlink"/>
          </w:rPr>
          <w:t>https://virustreatmentcenters.com</w:t>
        </w:r>
      </w:hyperlink>
    </w:p>
    <w:p w14:paraId="1FBF8A05" w14:textId="77777777" w:rsidR="007C22FC" w:rsidRDefault="007C22FC" w:rsidP="00881036"/>
    <w:sectPr w:rsidR="007C22FC" w:rsidSect="002E2B5F">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17F74" w14:textId="77777777" w:rsidR="002E2B5F" w:rsidRDefault="002E2B5F" w:rsidP="002E2B5F">
      <w:pPr>
        <w:spacing w:after="0" w:line="240" w:lineRule="auto"/>
      </w:pPr>
      <w:r>
        <w:separator/>
      </w:r>
    </w:p>
  </w:endnote>
  <w:endnote w:type="continuationSeparator" w:id="0">
    <w:p w14:paraId="4B2F0041" w14:textId="77777777" w:rsidR="002E2B5F" w:rsidRDefault="002E2B5F" w:rsidP="002E2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1129" w14:textId="16B19490" w:rsidR="002E2B5F" w:rsidRDefault="00445FD1" w:rsidP="00445FD1">
    <w:pPr>
      <w:pStyle w:val="Footer"/>
      <w:jc w:val="center"/>
    </w:pPr>
    <w:hyperlink r:id="rId1" w:history="1">
      <w:r w:rsidRPr="00951600">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903D" w14:textId="77777777" w:rsidR="00445FD1" w:rsidRDefault="00445FD1" w:rsidP="00445FD1">
    <w:pPr>
      <w:pStyle w:val="Footer"/>
      <w:jc w:val="center"/>
    </w:pPr>
    <w:hyperlink r:id="rId1" w:history="1">
      <w:r w:rsidRPr="00951600">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9904" w14:textId="2C824A04" w:rsidR="002E2B5F" w:rsidRDefault="002E2B5F" w:rsidP="002E2B5F">
    <w:pPr>
      <w:pStyle w:val="Footer"/>
      <w:jc w:val="center"/>
    </w:pPr>
    <w:hyperlink r:id="rId1" w:history="1">
      <w:r w:rsidRPr="00951600">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34CB9" w14:textId="77777777" w:rsidR="002E2B5F" w:rsidRDefault="002E2B5F" w:rsidP="002E2B5F">
      <w:pPr>
        <w:spacing w:after="0" w:line="240" w:lineRule="auto"/>
      </w:pPr>
      <w:r>
        <w:separator/>
      </w:r>
    </w:p>
  </w:footnote>
  <w:footnote w:type="continuationSeparator" w:id="0">
    <w:p w14:paraId="445D1E69" w14:textId="77777777" w:rsidR="002E2B5F" w:rsidRDefault="002E2B5F" w:rsidP="002E2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4727" w14:textId="57F15096" w:rsidR="002E2B5F" w:rsidRDefault="002E2B5F" w:rsidP="002E2B5F">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36"/>
    <w:rsid w:val="00042C6D"/>
    <w:rsid w:val="002E2B5F"/>
    <w:rsid w:val="003E1EC5"/>
    <w:rsid w:val="00445FD1"/>
    <w:rsid w:val="00494C2C"/>
    <w:rsid w:val="0054248D"/>
    <w:rsid w:val="007C22FC"/>
    <w:rsid w:val="00881036"/>
    <w:rsid w:val="009C01E7"/>
    <w:rsid w:val="00A401F9"/>
    <w:rsid w:val="00D7419A"/>
    <w:rsid w:val="00FD1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6679"/>
  <w15:chartTrackingRefBased/>
  <w15:docId w15:val="{6010F5C4-2EB8-499C-A339-EA214A363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036"/>
    <w:rPr>
      <w:rFonts w:eastAsiaTheme="majorEastAsia" w:cstheme="majorBidi"/>
      <w:color w:val="272727" w:themeColor="text1" w:themeTint="D8"/>
    </w:rPr>
  </w:style>
  <w:style w:type="paragraph" w:styleId="Title">
    <w:name w:val="Title"/>
    <w:basedOn w:val="Normal"/>
    <w:next w:val="Normal"/>
    <w:link w:val="TitleChar"/>
    <w:uiPriority w:val="10"/>
    <w:qFormat/>
    <w:rsid w:val="00881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036"/>
    <w:pPr>
      <w:spacing w:before="160"/>
      <w:jc w:val="center"/>
    </w:pPr>
    <w:rPr>
      <w:i/>
      <w:iCs/>
      <w:color w:val="404040" w:themeColor="text1" w:themeTint="BF"/>
    </w:rPr>
  </w:style>
  <w:style w:type="character" w:customStyle="1" w:styleId="QuoteChar">
    <w:name w:val="Quote Char"/>
    <w:basedOn w:val="DefaultParagraphFont"/>
    <w:link w:val="Quote"/>
    <w:uiPriority w:val="29"/>
    <w:rsid w:val="00881036"/>
    <w:rPr>
      <w:i/>
      <w:iCs/>
      <w:color w:val="404040" w:themeColor="text1" w:themeTint="BF"/>
    </w:rPr>
  </w:style>
  <w:style w:type="paragraph" w:styleId="ListParagraph">
    <w:name w:val="List Paragraph"/>
    <w:basedOn w:val="Normal"/>
    <w:uiPriority w:val="34"/>
    <w:qFormat/>
    <w:rsid w:val="00881036"/>
    <w:pPr>
      <w:ind w:left="720"/>
      <w:contextualSpacing/>
    </w:pPr>
  </w:style>
  <w:style w:type="character" w:styleId="IntenseEmphasis">
    <w:name w:val="Intense Emphasis"/>
    <w:basedOn w:val="DefaultParagraphFont"/>
    <w:uiPriority w:val="21"/>
    <w:qFormat/>
    <w:rsid w:val="00881036"/>
    <w:rPr>
      <w:i/>
      <w:iCs/>
      <w:color w:val="0F4761" w:themeColor="accent1" w:themeShade="BF"/>
    </w:rPr>
  </w:style>
  <w:style w:type="paragraph" w:styleId="IntenseQuote">
    <w:name w:val="Intense Quote"/>
    <w:basedOn w:val="Normal"/>
    <w:next w:val="Normal"/>
    <w:link w:val="IntenseQuoteChar"/>
    <w:uiPriority w:val="30"/>
    <w:qFormat/>
    <w:rsid w:val="00881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036"/>
    <w:rPr>
      <w:i/>
      <w:iCs/>
      <w:color w:val="0F4761" w:themeColor="accent1" w:themeShade="BF"/>
    </w:rPr>
  </w:style>
  <w:style w:type="character" w:styleId="IntenseReference">
    <w:name w:val="Intense Reference"/>
    <w:basedOn w:val="DefaultParagraphFont"/>
    <w:uiPriority w:val="32"/>
    <w:qFormat/>
    <w:rsid w:val="00881036"/>
    <w:rPr>
      <w:b/>
      <w:bCs/>
      <w:smallCaps/>
      <w:color w:val="0F4761" w:themeColor="accent1" w:themeShade="BF"/>
      <w:spacing w:val="5"/>
    </w:rPr>
  </w:style>
  <w:style w:type="paragraph" w:styleId="Header">
    <w:name w:val="header"/>
    <w:basedOn w:val="Normal"/>
    <w:link w:val="HeaderChar"/>
    <w:uiPriority w:val="99"/>
    <w:unhideWhenUsed/>
    <w:rsid w:val="002E2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B5F"/>
  </w:style>
  <w:style w:type="paragraph" w:styleId="Footer">
    <w:name w:val="footer"/>
    <w:basedOn w:val="Normal"/>
    <w:link w:val="FooterChar"/>
    <w:uiPriority w:val="99"/>
    <w:unhideWhenUsed/>
    <w:rsid w:val="002E2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B5F"/>
  </w:style>
  <w:style w:type="character" w:styleId="Hyperlink">
    <w:name w:val="Hyperlink"/>
    <w:basedOn w:val="DefaultParagraphFont"/>
    <w:uiPriority w:val="99"/>
    <w:unhideWhenUsed/>
    <w:rsid w:val="002E2B5F"/>
    <w:rPr>
      <w:color w:val="467886" w:themeColor="hyperlink"/>
      <w:u w:val="single"/>
    </w:rPr>
  </w:style>
  <w:style w:type="character" w:styleId="UnresolvedMention">
    <w:name w:val="Unresolved Mention"/>
    <w:basedOn w:val="DefaultParagraphFont"/>
    <w:uiPriority w:val="99"/>
    <w:semiHidden/>
    <w:unhideWhenUsed/>
    <w:rsid w:val="002E2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docs.live.net/c3c26c44f1b263fe/Documents/drhofstad@virustreatmentcenters.com"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1564</Words>
  <Characters>9965</Characters>
  <Application>Microsoft Office Word</Application>
  <DocSecurity>0</DocSecurity>
  <Lines>168</Lines>
  <Paragraphs>58</Paragraphs>
  <ScaleCrop>false</ScaleCrop>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Seattle Data Recovery</dc:creator>
  <cp:keywords/>
  <dc:description/>
  <cp:lastModifiedBy>Seattle Data Recovery</cp:lastModifiedBy>
  <cp:revision>2</cp:revision>
  <cp:lastPrinted>2025-12-30T04:49:00Z</cp:lastPrinted>
  <dcterms:created xsi:type="dcterms:W3CDTF">2025-12-30T05:00:00Z</dcterms:created>
  <dcterms:modified xsi:type="dcterms:W3CDTF">2025-12-30T05:00:00Z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79c0a486-fee2-496c-abf6-4cf13eb1cbda</vt:lpwstr>
  </property>
</Properties>
</file>