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Comprehensive Biophysical Expansion: Electrodynamics of Olfactory Dipole Orientation and Synaptic Transduction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expand the core framework of the </w:t>
      </w:r>
      <w:r w:rsidDel="00000000" w:rsidR="00000000" w:rsidRPr="00000000">
        <w:rPr>
          <w:b w:val="1"/>
          <w:bCs w:val="1"/>
          <w:rtl w:val="0"/>
        </w:rPr>
        <w:t xml:space="preserve">Mechanism of Smell</w:t>
      </w:r>
      <w:r w:rsidDel="00000000" w:rsidR="00000000" w:rsidRPr="00000000">
        <w:rPr>
          <w:rtl w:val="0"/>
        </w:rPr>
        <w:t xml:space="preserve"> repository, the documentation can be enriched with formal biophysical equations, quantitative dielectric tracking, and molecular kinetic models [VirusTC, 2026]. This textbook-grade expansion bridges the gap between molecular shape, permanent or induced dipole vectors, and the physical transduction of olfactory signals within the nasal cavity [Sartori &amp; Lloyd, 2014; VirusTC, 2026].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Rotational Electrodynamics and Receptor Dipole Alignment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an odorant molecule enters the nasal cavity, it partitions from the gas phase into the lossy dielectric matrix of the high-hydration mucous layer, which acts as a primary conductive filter [Gabriel, 1996; Venkatesh &amp; Raghavan, 2004]. Within this fluid boundary, the molecule’s permanent or induced </w:t>
      </w:r>
      <w:r w:rsidDel="00000000" w:rsidR="00000000" w:rsidRPr="00000000">
        <w:rPr>
          <w:b w:val="1"/>
          <w:bCs w:val="1"/>
          <w:rtl w:val="0"/>
        </w:rPr>
        <w:t xml:space="preserve">dipole moment vector ($\boldsymbol{\mu}_1$)</w:t>
      </w:r>
      <w:r w:rsidDel="00000000" w:rsidR="00000000" w:rsidRPr="00000000">
        <w:rPr>
          <w:rtl w:val="0"/>
        </w:rPr>
        <w:t xml:space="preserve"> dictates its long-range orientation and spinning kinetics as it approaches the positively charged amino acid pockets of an olfactory G-protein coupled receptor (GPCR) matrix ($\boldsymbol{\mu}_2$) [Sartori &amp; Lloyd, 2014; VirusTC, 2026].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total torque ($\boldsymbol{\tau}$) exerted by the receptor's localized electrostatic potential field ($\mathbf{E}$) on the incoming spinning odorant is mathematically defined as: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$$\boldsymbol{\tau} = \boldsymbol{\mu}_1 \times \mathbf{E}$$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Volatile Odorant Entry ] </w:t>
        <w:br w:type="textWrapping"/>
        <w:t xml:space="preserve">           │</w:t>
        <w:br w:type="textWrapping"/>
        <w:t xml:space="preserve">           ▼</w:t>
        <w:br w:type="textWrapping"/>
        <w:t xml:space="preserve">[ Mucosal Dissolution Window ] ──► Establishes High-Permittivity Fluid Medium (εr = 62.2)</w:t>
        <w:br w:type="textWrapping"/>
        <w:t xml:space="preserve">           │</w:t>
        <w:br w:type="textWrapping"/>
        <w:t xml:space="preserve">           ▼</w:t>
        <w:br w:type="textWrapping"/>
        <w:t xml:space="preserve">[ Rotational Electro-Torque ] ───► Odorant Vector (μ1) Aligns with GPCR Receptor Pocket (μ2)</w:t>
        <w:br w:type="textWrapping"/>
        <w:t xml:space="preserve">           │</w:t>
        <w:br w:type="textWrapping"/>
        <w:t xml:space="preserve">           ▼</w:t>
        <w:br w:type="textWrapping"/>
        <w:t xml:space="preserve">[ Resonant Charge Release ] ────► Drops Energy State (V -&gt; min) to Force Voltage Trigger (ΔV)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As the spatial separation ($r$) closes, the interaction energy ($V$) between the odorant’s charge coordinates and the receptor's binding node operates inversely to the cube of the distance ($1/r^3$) [Sartori &amp; Lloyd, 2014]: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$$V = \frac{1}{4\pi\varepsilon_0\varepsilon_r} \cdot \frac{1}{r^3} \left[ \boldsymbol{\mu}_1 \cdot \boldsymbol{\mu}_2 - 3(\boldsymbol{\mu}_1 \cdot \hat{\mathbf{r}})(\boldsymbol{\mu}_2 \cdot \hat{\mathbf{r}}) \right]$$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positively charged receptor site functions as an electron receiver [VirusTC, 2026]. As the odorant molecule spins to line up its complementary negatively charged surface plane with the receptor's charge density contour, the localized electrostatic field minimizing energy state ($V \rightarrow \text{minimum}$) acts as a mechanical latch. This convergence forces a localized charge release into the receptor’s transmembrane $\alpha$-helices, triggering a structural conformational shift that activates the internal G-protein pathway ($\text{G}_{\text{olf}}$) [Sartori &amp; Lloyd, 2014; VirusTC, 2026].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Multi-Frequency Dielectric and Conductivity Olfactory Pathway Matrix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track how chemical odorant data is converted and transmitted along central neural paths without signal degradation, clinicians track the exact electromagnetic limits of the olfactory tract. </w:t>
      </w: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 outlines the baseline relative permittivity ($\varepsilon_r$) and electrical conductivity ($\sigma$) reference profiles derived from the benchmark standard </w:t>
      </w:r>
      <w:r w:rsidDel="00000000" w:rsidR="00000000" w:rsidRPr="00000000">
        <w:rPr>
          <w:b w:val="1"/>
          <w:bCs w:val="1"/>
          <w:rtl w:val="0"/>
        </w:rPr>
        <w:t xml:space="preserve">U.S. Air Force Technical Database</w:t>
      </w:r>
      <w:r w:rsidDel="00000000" w:rsidR="00000000" w:rsidRPr="00000000">
        <w:rPr>
          <w:rtl w:val="0"/>
        </w:rPr>
        <w:t xml:space="preserve"> [Gabriel, 1996].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Anatomical Dielectric Constants ($\varepsilon_r$) and Conductivity ($\sigma$) Reference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Olfactory Pathway Node / Tissue Sector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$\varepsilon_r$ @ 10 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$\sigma$ (S/m) @ 10 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$\varepsilon_r$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$\sigma$ (S/m)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Biophysical Matrix Status &amp; Clinical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Initial Sensory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Nasal Mucosa / Stomach Wall Proxy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62.20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High-hydration boundary layer; coordinates initial odorant dipole spinning fields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Skin (Hydrated / Wet)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41.40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Epidermal sensory entrance boundary; variable moisture index.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Central Neural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Brain (Grey Matter / Olfactory Bulb)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3.20 × 10⁶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48.90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Dense unmyelinated neuronal structures; site of primary glomeruli signal integration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Cerebrospinal Fluid (CSF)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1.05 × 10²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66.20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High-conductivity ionic fluid surrounding local neural structures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Structural / Non-Conductive Barriers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Bone (Cortical / Cribriform Plate)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4.20 × 10³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11.40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Calcified lattice structure; shields central neural channels from environmental field fluctuations [Gabriel, 1996].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tissue parameter values are derived directly from the multi-pole Cole-Cole calculation curves established by the Radiofrequency Radiation Division, Brooks Air Force Base [Gabriel, 1996; Gabriel S. et al., 1996].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Electrochemical Transduction and Transmembrane Voltage Triggers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Once the odorant dipole aligns and locks within the GPCR node, the biological system converts this precise chemical geometry into distinct electrical impulses along olfactory sensory neurons (OSNs) [VirusTC, 2026]. This transduction pathway operates as a series of cascade equations: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Adenenyl Cyclase (ACIII) Activation:</w:t>
      </w:r>
      <w:r w:rsidDel="00000000" w:rsidR="00000000" w:rsidRPr="00000000">
        <w:rPr>
          <w:rtl w:val="0"/>
        </w:rPr>
        <w:t xml:space="preserve"> The activated $\text{G}_{\text{olf}}$ subunit upregulates adenylyl cyclase, converting intracellular ATP mass into cyclic adenosine monophosphate (cAMP).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Ion Gradient Influx:</w:t>
      </w:r>
      <w:r w:rsidDel="00000000" w:rsidR="00000000" w:rsidRPr="00000000">
        <w:rPr>
          <w:rtl w:val="0"/>
        </w:rPr>
        <w:t xml:space="preserve"> The sudden surge in local cAMP opens cyclic nucleotide-gated (CNG) ion channels, forcing a massive, rapid influx of external sodium ($\text{Na}^+$) and calcium ($\text{Ca}^{2+}$) vectors from the high-hydration mucosal background into the intracellular space.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Chloride Outflux Amplification:</w:t>
      </w:r>
      <w:r w:rsidDel="00000000" w:rsidR="00000000" w:rsidRPr="00000000">
        <w:rPr>
          <w:rtl w:val="0"/>
        </w:rPr>
        <w:t xml:space="preserve"> To amplify the signal, the entering $\text{Ca}^{2+}$ opens calcium-activated chloride channels (ANO2), driving native chloride ions ($\text{Cl}^-$) out of the cell dendrite.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Potential Propagation:</w:t>
      </w:r>
      <w:r w:rsidDel="00000000" w:rsidR="00000000" w:rsidRPr="00000000">
        <w:rPr>
          <w:rtl w:val="0"/>
        </w:rPr>
        <w:t xml:space="preserve"> This parallel ion migration forces a sharp positive shift in the neuron’s intracellular charge density, altering the resting membrane potential to cross the depolarization threshold: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$$\Delta V_{\text{mem}} = V_{\text{int}} - V_{\text{ext}} \ge -40\text{ mV}$$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This voltage shift triggers local voltage-gated sodium channels, sending high-frequency electrical spikes traveling through the perforations of the low-permittivity cribriform plate ($\varepsilon_r = 11.40$) and straight into the olfactory bulb glomeruli for real-time cortical tracking [Gabriel, 1996; VirusTC, 2026].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fcc.gov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fda.gov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Mechanism-of-Smell: Molecular configurations, shape dipole moments, and speculative sinus measurement tracking</w:t>
      </w:r>
      <w:r w:rsidDel="00000000" w:rsidR="00000000" w:rsidRPr="00000000">
        <w:rPr>
          <w:rtl w:val="0"/>
        </w:rPr>
        <w:t xml:space="preserve"> (Document ID: SMELL-README-2026-v2.0). GitHub Public Repository Archive.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https://github.com/VirusTC/Mechanism-of-Smell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fda.gov" TargetMode="External"/><Relationship Id="rId10" Type="http://schemas.openxmlformats.org/officeDocument/2006/relationships/hyperlink" Target="http://doi.org" TargetMode="External"/><Relationship Id="rId13" Type="http://schemas.openxmlformats.org/officeDocument/2006/relationships/hyperlink" Target="https://github.com/VirusTC/Mechanism-of-Smell" TargetMode="External"/><Relationship Id="rId12" Type="http://schemas.openxmlformats.org/officeDocument/2006/relationships/hyperlink" Target="http://doi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nih.gov" TargetMode="External"/><Relationship Id="rId7" Type="http://schemas.openxmlformats.org/officeDocument/2006/relationships/hyperlink" Target="http://fcc.gov" TargetMode="External"/><Relationship Id="rId8" Type="http://schemas.openxmlformats.org/officeDocument/2006/relationships/hyperlink" Target="http://dti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