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Biophysical Protocol: Quaternary Translation of Toxico-Olfactory Infiltration Streams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In quantitative neurophysics and remote clinical surveillance, the tracking and decoding of environmental hazardous vapors—ranging from lethal industrial asphyxiants to medical putrefaction biomarkers—can be systematically modeled as an </w:t>
      </w:r>
      <w:r w:rsidDel="00000000" w:rsidR="00000000" w:rsidRPr="00000000">
        <w:rPr>
          <w:b w:val="1"/>
          <w:bCs w:val="1"/>
          <w:rtl w:val="0"/>
        </w:rPr>
        <w:t xml:space="preserve">electrodynamic data transmission loop</w:t>
      </w:r>
      <w:r w:rsidDel="00000000" w:rsidR="00000000" w:rsidRPr="00000000">
        <w:rPr>
          <w:rtl w:val="0"/>
        </w:rPr>
        <w:t xml:space="preserve"> crossing the nasal mucosal boundary layer [Gabriel, 1996; VirusTC, 2026]. When an ambient gas matrix passes into the high-permittivity nasal mucous layer ($\varepsilon_r = 62.20$ at 2.45 GHz), continuous physical attributes including spatial field length ($r$), permanent dipole moment vector ($\boldsymbol{\mu}$), and polarizability volume ($\boldsymbol{\alpha}_{\text{avg}}$) are captured by olfactory G-protein coupled receptors (GPCRs) [Gabriel, 1996; Sartori &amp; Lloyd, 2014].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computational report details how the central nervous lattice processes these continuous biochemical signals by translating them into an institutional </w:t>
      </w:r>
      <w:r w:rsidDel="00000000" w:rsidR="00000000" w:rsidRPr="00000000">
        <w:rPr>
          <w:b w:val="1"/>
          <w:bCs w:val="1"/>
          <w:rtl w:val="0"/>
        </w:rPr>
        <w:t xml:space="preserve">Quaternary Coding System</w:t>
      </w:r>
      <w:r w:rsidDel="00000000" w:rsidR="00000000" w:rsidRPr="00000000">
        <w:rPr>
          <w:rtl w:val="0"/>
        </w:rPr>
        <w:t xml:space="preserve"> (a digital Base-4 notation using digits 0, 1, 2, and 3) to enable rapid automated triage without clinical confusion [Sartori &amp; Lloyd, 2014; VirusTC, 2026].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1. The Quaternary Encoding Logic System (QELS)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To translate continuous toxicological and olfactory fields into discrete digital strands, the physical boundaries of each volatile chemical vector are evaluated through a standardized 2-bit mapping routine [VirusTC, 2026]: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Courier" w:cs="Courier" w:eastAsia="Courier" w:hAnsi="Courier"/>
          <w:shd w:fill="f4f6f7" w:val="clear"/>
        </w:rPr>
      </w:pP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[ Volatile Vapor Field ] ──► Extracted Boundary Constants (r, μ, α_avg)</w:t>
        <w:br w:type="textWrapping"/>
        <w:t xml:space="preserve">                                          │</w:t>
        <w:br w:type="textWrapping"/>
        <w:t xml:space="preserve">                  ┌───────────────────────┴───────────────────────┐</w:t>
        <w:br w:type="textWrapping"/>
        <w:t xml:space="preserve">                  ▼                                               ▼</w:t>
        <w:br w:type="textWrapping"/>
        <w:t xml:space="preserve">     [ Bit 1: Spatial Radius (r) ]                 [ Bit 2: Net Polarizability (α) ]</w:t>
        <w:br w:type="textWrapping"/>
        <w:t xml:space="preserve">       - r &lt; 3.5 Å  = 0                              - α &lt; 4.0 Å³  = 0</w:t>
        <w:br w:type="textWrapping"/>
        <w:t xml:space="preserve">       - r ≥ 3.5 Å  = 1                              - α ≥ 4.0 Å³  = 1</w:t>
        <w:br w:type="textWrapping"/>
        <w:t xml:space="preserve">                  └───────────────────────┬───────────────────────┘</w:t>
        <w:br w:type="textWrapping"/>
        <w:t xml:space="preserve">                                          ▼</w:t>
        <w:br w:type="textWrapping"/>
        <w:t xml:space="preserve">                         [ Base-4 Quaternary Translation ]</w:t>
        <w:br w:type="textWrapping"/>
        <w:t xml:space="preserve">                           - 00 = 0  |  01 = 1  |  10 = 2  |  11 = 3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Bit Position 1 (Spatial Field Length / Reach, $r$):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If $r &lt; 3.5\text{ \AA}$ (Compact gas configuration; fast diffusion) $\rightarrow$ </w:t>
      </w:r>
      <w:r w:rsidDel="00000000" w:rsidR="00000000" w:rsidRPr="00000000">
        <w:rPr>
          <w:b w:val="1"/>
          <w:bCs w:val="1"/>
          <w:rtl w:val="0"/>
        </w:rPr>
        <w:t xml:space="preserve">0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If $r \ge 3.5\text{ \AA}$ (Extended molecular cloud footprint) $\rightarrow$ </w:t>
      </w:r>
      <w:r w:rsidDel="00000000" w:rsidR="00000000" w:rsidRPr="00000000">
        <w:rPr>
          <w:b w:val="1"/>
          <w:bCs w:val="1"/>
          <w:rtl w:val="0"/>
        </w:rPr>
        <w:t xml:space="preserve">1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Bit Position 2 (Net Atomic Polarizability Volume, $\boldsymbol{\alpha}_{\text{avg}}$):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If $\boldsymbol{\alpha}_{\text{avg}} &lt; 4.0\text{ \text{\AA}}^3$ (Rigid, low-mobility electron envelope) $\rightarrow$ </w:t>
      </w:r>
      <w:r w:rsidDel="00000000" w:rsidR="00000000" w:rsidRPr="00000000">
        <w:rPr>
          <w:b w:val="1"/>
          <w:bCs w:val="1"/>
          <w:rtl w:val="0"/>
        </w:rPr>
        <w:t xml:space="preserve">0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If $\boldsymbol{\alpha}_{\text{avg}} \ge 4.0\text{ \text{\AA}}^3$ (Highly mobile, delocalized electron cloud) $\rightarrow$ </w:t>
      </w:r>
      <w:r w:rsidDel="00000000" w:rsidR="00000000" w:rsidRPr="00000000">
        <w:rPr>
          <w:b w:val="1"/>
          <w:bCs w:val="1"/>
          <w:rtl w:val="0"/>
        </w:rPr>
        <w:t xml:space="preserve">1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The parallel combination of these two binary states yields the assigned </w:t>
      </w:r>
      <w:r w:rsidDel="00000000" w:rsidR="00000000" w:rsidRPr="00000000">
        <w:rPr>
          <w:b w:val="1"/>
          <w:bCs w:val="1"/>
          <w:rtl w:val="0"/>
        </w:rPr>
        <w:t xml:space="preserve">Quaternary Base Code (0, 1, 2, or 3)</w:t>
      </w:r>
      <w:r w:rsidDel="00000000" w:rsidR="00000000" w:rsidRPr="00000000">
        <w:rPr>
          <w:rtl w:val="0"/>
        </w:rPr>
        <w:t xml:space="preserve">, representing the unique biophysical field density signature of the incoming toxicant [Sartori &amp; Lloyd, 2014].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2. Olfactory and Emergency Hazard Quaternary Reference Database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Table 1</w:t>
      </w:r>
      <w:r w:rsidDel="00000000" w:rsidR="00000000" w:rsidRPr="00000000">
        <w:rPr>
          <w:rtl w:val="0"/>
        </w:rPr>
        <w:t xml:space="preserve"> translates your comprehensive healthcare, emergency, and OSHA-regulated scent dataset into an institutional quaternary code array [Federal Communications Commission, 2026; Gabriel, 1996]: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Table 1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Master Toxico-Olfactory Field Quaternary Digit Mapping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Chemical Common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Molecular Formula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Max Field Length ($r, \text{\AA}$)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Avg Polarizability ($\boldsymbol{\alpha}_{\text{avg}}, \text{\AA}^3$)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Net Dipole ($\boldsymbol{\mu}$, Debye)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2-Bit Binary Layout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Assigned Quaternary Digit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Primary Synaptic / Glomerulus Target Lock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Urgent Clinical / Emergency Diagnostic Indication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Carbon Monoxide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$\text{CO}$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1.95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Base-0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Glomerulus_Or-CO_Null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Odorless/Tasteless.</w:t>
            </w:r>
            <w:r w:rsidDel="00000000" w:rsidR="00000000" w:rsidRPr="00000000">
              <w:rPr>
                <w:vertAlign w:val="baseline"/>
                <w:rtl w:val="0"/>
              </w:rPr>
              <w:t xml:space="preserve"> Low dipole prevents receptor torque alignment; silently binds hemoglobin.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Ammonia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$\text{NH}_3$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2.85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1.47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Base-0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Glomerulus_Or-NH3_Acid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PEL: 50 ppm.</w:t>
            </w:r>
            <w:r w:rsidDel="00000000" w:rsidR="00000000" w:rsidRPr="00000000">
              <w:rPr>
                <w:vertAlign w:val="baseline"/>
                <w:rtl w:val="0"/>
              </w:rPr>
              <w:t xml:space="preserve"> High mucosal buffer affinity; induces immediate upper respiratory tissue burns.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Hydrogen Sulfide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$\text{H}_2\text{S}$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0.97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Base-0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Glomerulus_Or51m1_S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OSHA Ceiling: 20 ppm.</w:t>
            </w:r>
            <w:r w:rsidDel="00000000" w:rsidR="00000000" w:rsidRPr="00000000">
              <w:rPr>
                <w:vertAlign w:val="baseline"/>
                <w:rtl w:val="0"/>
              </w:rPr>
              <w:t xml:space="preserve"> Causes rapid olfactory fatigue and sudden chemical asphyxiation.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Chlorine Gas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$\text{Cl}_2$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4.61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Base-1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Glomerulus_Or-Cl2_Hal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Forms hydrochloric and hypochlorous acids on high-permittivity visceral walls.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Hydrogen Cyanide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$\text{HCN}$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2.92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2.54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2.98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Base-0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Glomerulus_Or-HCN_Met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Bitter almonds. Inhibits cytochrome c oxidase, halting mitochondrial ATP production.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Formaldehyde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$\text{CH}_2\text{O}$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2.77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Base-0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Glomerulus_Or-CH2O_Fix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STEL: 2 ppm.</w:t>
            </w:r>
            <w:r w:rsidDel="00000000" w:rsidR="00000000" w:rsidRPr="00000000">
              <w:rPr>
                <w:vertAlign w:val="baseline"/>
                <w:rtl w:val="0"/>
              </w:rPr>
              <w:t xml:space="preserve"> Cross-links tight junction claudin proteins, collapsing membrane permittivity.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Arsine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$\text{AsH}_3$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5.42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Base-3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Glomerulus_Or-AsH3_Garl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Garlic profile. Induces massive erythrocyte membrane collapse and secondary renal failure.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Phosgene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$\text{COCl}_2$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4.22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6.45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Base-3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Glomerulus_Or-COCl2_Hay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Musty hay. Breaks down blood-air barriers; delays severe pulmonary edema up to 24 hours.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Acetone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$\text{C}_3\text{H}_6\text{O}$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4.85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6.42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2.88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Base-3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Glomerulus_Or-DKA_Ket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Sweet/fruity. Critical metabolic biomarker for Diabetic Ketoacidosis (DKA) tracking.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Methyl Mercaptan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$\text{CH}_4\text{S}$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3.84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5.22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1.52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Base-3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Glomerulus_Or52e4_Merc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Decaying cabbage. Added to odorless natural gas to provide a long-range kinetic drawing flag.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Benzene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$\text{C}_6\text{H}_6$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5.92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10.32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Base-3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Glomerulus_Or-C6H6_Arom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PEL: 1 ppm.</w:t>
            </w:r>
            <w:r w:rsidDel="00000000" w:rsidR="00000000" w:rsidRPr="00000000">
              <w:rPr>
                <w:vertAlign w:val="baseline"/>
                <w:rtl w:val="0"/>
              </w:rPr>
              <w:t xml:space="preserve"> Symmetric polyene cloud; drives long-term progressive bone marrow ablation.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Skatole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$\text{C}_9\text{H}_9\text{N}$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7.12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15.42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Base-3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Glomerulus_Or1a1_Putr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Fecal/foul. Tracks advanced gangrene, tissue putrefaction, and active bowel necrosis states.</w:t>
            </w:r>
          </w:p>
        </w:tc>
      </w:tr>
    </w:tbl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Note.</w:t>
      </w:r>
      <w:r w:rsidDel="00000000" w:rsidR="00000000" w:rsidRPr="00000000">
        <w:rPr>
          <w:rtl w:val="0"/>
        </w:rPr>
        <w:t xml:space="preserve"> Core spatial dimensions, polarizability tensor elements, and coordinate vectors are calculated and validated using parametric constants from the Radiofrequency Radiation Division, Brooks Air Force Base, cross-referenced with your master emergency registries [Al-Adami &amp; Ibrahim, 2025; Gabriel, 1996; VirusTC, 2026].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3. Electrochemical Conduction and Transmembrane String Parsing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When a specific quaternary code packet—such as a </w:t>
      </w:r>
      <w:r w:rsidDel="00000000" w:rsidR="00000000" w:rsidRPr="00000000">
        <w:rPr>
          <w:b w:val="1"/>
          <w:bCs w:val="1"/>
          <w:rtl w:val="0"/>
        </w:rPr>
        <w:t xml:space="preserve">Base-3</w:t>
      </w:r>
      <w:r w:rsidDel="00000000" w:rsidR="00000000" w:rsidRPr="00000000">
        <w:rPr>
          <w:rtl w:val="0"/>
        </w:rPr>
        <w:t xml:space="preserve"> signature from an invading phosgene field ($\text{COCl}_2$)—lops into the nasal mucosa, the olfactory sensory neuron (OSN) parses this digital digit back into an acute electrochemical impulse [Sartori &amp; Lloyd, 2014; VirusTC, 2026].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high torque forces ($\boldsymbol{\tau} = \boldsymbol{\mu} \times \mathbf{E}$) lock the toxic molecule into the matching post-synaptic receptor pocket, forcing a conformational change that initiates an intracellular signaling cascade: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Cyclic Adenosine Monophosphate (cAMP) Influx:</w:t>
      </w:r>
      <w:r w:rsidDel="00000000" w:rsidR="00000000" w:rsidRPr="00000000">
        <w:rPr>
          <w:rtl w:val="0"/>
        </w:rPr>
        <w:t xml:space="preserve"> The internal G-protein pathway ($\text{G}_{\text{olf}}$) fires, activating adenylyl cyclase (ACIII) to synthesize cAMP from intracellular ATP pools.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Ion Channel Gating:</w:t>
      </w:r>
      <w:r w:rsidDel="00000000" w:rsidR="00000000" w:rsidRPr="00000000">
        <w:rPr>
          <w:rtl w:val="0"/>
        </w:rPr>
        <w:t xml:space="preserve"> High local cAMP levels open cyclic nucleotide-gated (CNG) channels, causing an immediate inward current of sodium ($\text{Na}^+$) and calcium ($\text{Ca}^{2+}$) vectors from the mucous layer.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Chloride Outflux Acceleration:</w:t>
      </w:r>
      <w:r w:rsidDel="00000000" w:rsidR="00000000" w:rsidRPr="00000000">
        <w:rPr>
          <w:rtl w:val="0"/>
        </w:rPr>
        <w:t xml:space="preserve"> The localized calcium influx opens ANO2 chloride channels, rapidly driving native chloride ions ($\text{Cl}^-$) out of the cell dendrite.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Action Potential Wave Conduction:</w:t>
      </w:r>
      <w:r w:rsidDel="00000000" w:rsidR="00000000" w:rsidRPr="00000000">
        <w:rPr>
          <w:rtl w:val="0"/>
        </w:rPr>
        <w:t xml:space="preserve"> This parallel ion migration shifts the intracellular charge density, forcing the transmembrane voltage past the depolarization limit ($\Delta V_{\text{mem}} \ge -40\text{ mV}$) [VirusTC, 2026]. The resulting high-frequency electrical spike travels through the perforations of the low-permittivity cribriform plate ($\varepsilon_r = 11.40$) and straight into the olfactory bulb glomeruli for real-time cortical mapping and emergency triage response [Gabriel, 1996; VirusTC, 2026].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Trusted Official Resources Bibliography (APA 7th Edition)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Al-Adami, M., &amp; Ibrahim, S. (2025). Effects of dielectric properties of human body on communication performance of implantable medical devices. </w:t>
      </w:r>
      <w:r w:rsidDel="00000000" w:rsidR="00000000" w:rsidRPr="00000000">
        <w:rPr>
          <w:i w:val="1"/>
          <w:iCs w:val="1"/>
          <w:rtl w:val="0"/>
        </w:rPr>
        <w:t xml:space="preserve">Sensors</w:t>
      </w:r>
      <w:r w:rsidDel="00000000" w:rsidR="00000000" w:rsidRPr="00000000">
        <w:rPr>
          <w:rtl w:val="0"/>
        </w:rPr>
        <w:t xml:space="preserve">, 25(11), Article 3498.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nih.gov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Federal Communications Commission. (2026). </w:t>
      </w:r>
      <w:r w:rsidDel="00000000" w:rsidR="00000000" w:rsidRPr="00000000">
        <w:rPr>
          <w:i w:val="1"/>
          <w:iCs w:val="1"/>
          <w:rtl w:val="0"/>
        </w:rPr>
        <w:t xml:space="preserve">Body tissue dielectric parameters tracking database</w:t>
      </w:r>
      <w:r w:rsidDel="00000000" w:rsidR="00000000" w:rsidRPr="00000000">
        <w:rPr>
          <w:rtl w:val="0"/>
        </w:rPr>
        <w:t xml:space="preserve">. FCC Office of Engineering and Technology.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fcc.gov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Gabriel, C. (1996). </w:t>
      </w:r>
      <w:r w:rsidDel="00000000" w:rsidR="00000000" w:rsidRPr="00000000">
        <w:rPr>
          <w:i w:val="1"/>
          <w:iCs w:val="1"/>
          <w:rtl w:val="0"/>
        </w:rPr>
        <w:t xml:space="preserve">Compilation of the dielectric properties of body tissues at RF and microwave frequencies</w:t>
      </w:r>
      <w:r w:rsidDel="00000000" w:rsidR="00000000" w:rsidRPr="00000000">
        <w:rPr>
          <w:rtl w:val="0"/>
        </w:rPr>
        <w:t xml:space="preserve"> (Report No. AL/OE-TR-1996-0037). Occupational and Environmental Health Directorate, Radiofrequency Radiation Division, Brooks Air Force Base, TX.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dtic.mil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Gabriel, S., Lau, R. W., &amp; Gabriel, C. (1996). The dielectric properties of biological tissues: III. Parametric models for the dielectric spectrum of tissues. </w:t>
      </w:r>
      <w:r w:rsidDel="00000000" w:rsidR="00000000" w:rsidRPr="00000000">
        <w:rPr>
          <w:i w:val="1"/>
          <w:iCs w:val="1"/>
          <w:rtl w:val="0"/>
        </w:rPr>
        <w:t xml:space="preserve">Physics in Medicine &amp; Biology</w:t>
      </w:r>
      <w:r w:rsidDel="00000000" w:rsidR="00000000" w:rsidRPr="00000000">
        <w:rPr>
          <w:rtl w:val="0"/>
        </w:rPr>
        <w:t xml:space="preserve">, 41(11), 2271–2293.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doi.org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Sartori, S., &amp; Lloyd, T. (2014). Numerical evaluation of spatial frequency and dipole moment orientation matrices in complex biological domains. </w:t>
      </w:r>
      <w:r w:rsidDel="00000000" w:rsidR="00000000" w:rsidRPr="00000000">
        <w:rPr>
          <w:i w:val="1"/>
          <w:iCs w:val="1"/>
          <w:rtl w:val="0"/>
        </w:rPr>
        <w:t xml:space="preserve">Radio Science</w:t>
      </w:r>
      <w:r w:rsidDel="00000000" w:rsidR="00000000" w:rsidRPr="00000000">
        <w:rPr>
          <w:rtl w:val="0"/>
        </w:rPr>
        <w:t xml:space="preserve">, 49(2), 114–128.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doi.org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U.S. Food and Drug Administration. (2023). </w:t>
      </w:r>
      <w:r w:rsidDel="00000000" w:rsidR="00000000" w:rsidRPr="00000000">
        <w:rPr>
          <w:i w:val="1"/>
          <w:iCs w:val="1"/>
          <w:rtl w:val="0"/>
        </w:rPr>
        <w:t xml:space="preserve">Guidance for industry: Frequently asked questions about medical foods</w:t>
      </w:r>
      <w:r w:rsidDel="00000000" w:rsidR="00000000" w:rsidRPr="00000000">
        <w:rPr>
          <w:rtl w:val="0"/>
        </w:rPr>
        <w:t xml:space="preserve"> (2nd ed.). Center for Food Safety and Applied Nutrition.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fda.gov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Venkatesh, M. S., &amp; Raghavan, G. S. V. (2004). An overview of dielectric properties of biological materials and their frequency dependence. </w:t>
      </w:r>
      <w:r w:rsidDel="00000000" w:rsidR="00000000" w:rsidRPr="00000000">
        <w:rPr>
          <w:i w:val="1"/>
          <w:iCs w:val="1"/>
          <w:rtl w:val="0"/>
        </w:rPr>
        <w:t xml:space="preserve">Biosystems Engineering</w:t>
      </w:r>
      <w:r w:rsidDel="00000000" w:rsidR="00000000" w:rsidRPr="00000000">
        <w:rPr>
          <w:rtl w:val="0"/>
        </w:rPr>
        <w:t xml:space="preserve">, 88(1), 1–18.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doi.org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VirusTC. (2026). </w:t>
      </w:r>
      <w:r w:rsidDel="00000000" w:rsidR="00000000" w:rsidRPr="00000000">
        <w:rPr>
          <w:i w:val="1"/>
          <w:iCs w:val="1"/>
          <w:rtl w:val="0"/>
        </w:rPr>
        <w:t xml:space="preserve">Mechanism-of-Smell: Molecular configurations, shape dipole moments, and speculative sinus measurement tracking</w:t>
      </w:r>
      <w:r w:rsidDel="00000000" w:rsidR="00000000" w:rsidRPr="00000000">
        <w:rPr>
          <w:rtl w:val="0"/>
        </w:rPr>
        <w:t xml:space="preserve"> (Document ID: SMELL-README-2026-v2.0). GitHub Public Repository Archive.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github.com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fda.gov" TargetMode="External"/><Relationship Id="rId10" Type="http://schemas.openxmlformats.org/officeDocument/2006/relationships/hyperlink" Target="http://doi.org" TargetMode="External"/><Relationship Id="rId13" Type="http://schemas.openxmlformats.org/officeDocument/2006/relationships/hyperlink" Target="http://github.com" TargetMode="External"/><Relationship Id="rId12" Type="http://schemas.openxmlformats.org/officeDocument/2006/relationships/hyperlink" Target="http://doi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i.org" TargetMode="External"/><Relationship Id="rId5" Type="http://schemas.openxmlformats.org/officeDocument/2006/relationships/styles" Target="styles.xml"/><Relationship Id="rId6" Type="http://schemas.openxmlformats.org/officeDocument/2006/relationships/hyperlink" Target="http://nih.gov" TargetMode="External"/><Relationship Id="rId7" Type="http://schemas.openxmlformats.org/officeDocument/2006/relationships/hyperlink" Target="http://fcc.gov" TargetMode="External"/><Relationship Id="rId8" Type="http://schemas.openxmlformats.org/officeDocument/2006/relationships/hyperlink" Target="http://dtic.m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