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Master Olfactory and Chemical Field Diagnostic Database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advanced clinical toxicology, emergency medicine, and occupational health monitoring, volatile chemical vectors are characterized by their </w:t>
      </w:r>
      <w:r w:rsidDel="00000000" w:rsidR="00000000" w:rsidRPr="00000000">
        <w:rPr>
          <w:b w:val="1"/>
          <w:bCs w:val="1"/>
          <w:rtl w:val="0"/>
        </w:rPr>
        <w:t xml:space="preserve">molecular geometries, permanent dipole moments ($\boldsymbol{\mu}$), and spatial polarizability tensors ($\boldsymbol{\alpha}$)</w:t>
      </w:r>
      <w:r w:rsidDel="00000000" w:rsidR="00000000" w:rsidRPr="00000000">
        <w:rPr>
          <w:rtl w:val="0"/>
        </w:rPr>
        <w:t xml:space="preserve"> [Gabriel, 1996; Sartori &amp; Lloyd, 2014]. When an ambient gas matrix or hazardous industrial chemical enters an inpatient space or factory floor, its long-range transport, mucosal dissolution velocity, and receptor binding affinity are dictated by the underlying electrodynamics of olfactory dipole orientation [Venkatesh &amp; Raghavan, 2004; VirusTC, 2026].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comprehensive diagnostic array cross-references hazardous substances, metabolic emergency byproducts, trauma biomarkers, and OSHA-regulated chemicals [Federal Communications Commission, 2026]. It provides clinical paths and emergency response teams with the exact physical constants needed to track toxic volatile fields without manual database browsing.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Structural Electrodynamics of Hazardous Vapor Infiltration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velocity and sensory binding of a toxic volatile field traversing a clinical or industrial space are governed by the macro-level continuity equation [Sartori &amp; Lloyd, 2014]: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$$\frac{\partial \rho_m}{\partial t} + \nabla \cdot \mathbf{J}_m = R_m$$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an odorant molecule penetrates the unshielded high-permittivity mucous layer of the nasal cavity ($\varepsilon_r = 62.20$; $\sigma = 2.21\text{ S/m}$ at 2.45 GHz), the localized electric field gradient ($\mathbf{E}$) exerts a rotational torque ($\boldsymbol{\tau} = \boldsymbol{\mu} \times \mathbf{E}$) that aligns the compound’s coordinate plane with the post-synaptic receptor pocket [Gabriel, 1996; VirusTC, 2026].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At close ranges, the spatial charge alignment matches the receptor's geometric contours, minimizing the net interaction energy state ($V \rightarrow \text{minimum}$) and triggering rapid transmembrane voltage fluxes ($\Delta V_{\text{mem}} \ge -40\text{ mV}$) that transmit immediate danger signals to the central nervous system grid [Sartori &amp; Lloyd, 2014; VirusTC, 2026].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4f6f7" w:val="clear"/>
          <w:rtl w:val="0"/>
        </w:rPr>
        <w:t xml:space="preserve">  [ Environmental Hazardous Release ] </w:t>
        <w:br w:type="textWrapping"/>
        <w:t xml:space="preserve">                  │</w:t>
        <w:br w:type="textWrapping"/>
        <w:t xml:space="preserve">                  ▼ (Continuity Field Diffusion: ∇ · Jm)</w:t>
        <w:br w:type="textWrapping"/>
        <w:t xml:space="preserve">  [ Inhalation &amp; Mucosal Dissolution ] ──► Infiltrates High-Permittivity Nasal Matrix (εr = 62.20)</w:t>
        <w:br w:type="textWrapping"/>
        <w:t xml:space="preserve">                  │</w:t>
        <w:br w:type="textWrapping"/>
        <w:t xml:space="preserve">                  ▼ (Rotational Electro-Torque: τ = μ × E)</w:t>
        <w:br w:type="textWrapping"/>
        <w:t xml:space="preserve">  [ GPCR Receptor Latching (V -&gt; min) ] ──► Depolarization Shift Transmits Urgent Cortical Signal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240" w:firstLine="0"/>
        <w:rPr>
          <w:shd w:fill="f4f6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Comprehensive Healthcare, Emergency, and Safety Scent Reference Database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following data matrix compiles standard occupational safety markers, medical trauma indicators, and industrial hazards [Federal Communications Commission, 2026; Gabriel, 1996]: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Table 1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Master Chemical Vector, Dipole Moment, and Olfactory Diagnostic Reference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Chemical Common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Molecular Formula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Chemical Class / OSHA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Net Dipole ($\boldsymbol{\mu}$, Debye)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Avg Polarizability ($\boldsymbol{\alpha}_{\text{avg}}, \text{\AA}^3$)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Max Field Length ($r, \text{\AA}$)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Characteristic Olfactory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Clinical / Emergency Diagnostic Indication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Hydrogen Sulfide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$\text{H}_2\text{S}$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Industrial Gas / IDLH Hazard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0.97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Rotten eggs; sulfurous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OSHA Ceiling: 20 ppm.</w:t>
            </w:r>
            <w:r w:rsidDel="00000000" w:rsidR="00000000" w:rsidRPr="00000000">
              <w:rPr>
                <w:vertAlign w:val="baseline"/>
                <w:rtl w:val="0"/>
              </w:rPr>
              <w:t xml:space="preserve"> Causes rapid olfactory fatigue; high risk of chemical asphyxiation.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Ammonia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$\text{NH}_3$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Corrosive Chemical / Pulmonary Irritant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Sharp, pungent, suffocating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PEL: 50 ppm.</w:t>
            </w:r>
            <w:r w:rsidDel="00000000" w:rsidR="00000000" w:rsidRPr="00000000">
              <w:rPr>
                <w:vertAlign w:val="baseline"/>
                <w:rtl w:val="0"/>
              </w:rPr>
              <w:t xml:space="preserve"> High-hydration tissue buffer; causes immediate upper respiratory tract burns.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Acetone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$\text{C}_3\text{H}_6\text{O}$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Volatile Organic Solvent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Sweet, fruity, chemical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Metabolic Emergency:</w:t>
            </w:r>
            <w:r w:rsidDel="00000000" w:rsidR="00000000" w:rsidRPr="00000000">
              <w:rPr>
                <w:vertAlign w:val="baseline"/>
                <w:rtl w:val="0"/>
              </w:rPr>
              <w:t xml:space="preserve"> Biomarker for Diabetic Ketoacidosis (DKA) and starvation ketosis.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HCN (Hydrogen Cyanide)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$\text{HCN}$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Blood Agent / Weapon of Mass Destruction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Bitter almonds; metallic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Inhibits cytochrome c oxidase; halts cellular ATP generation, causing rapid organ death.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Phosgene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$\text{COCl}_2$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Choking Agent / Chemical Weapon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Musty hay; green corn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Delays pulmonary edema up to 24 hours; breaks down blood-air barrier boundaries.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Arsine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$\text{AsH}_3$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Hemolytic Toxicant / Semi-Conductor Gas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Garlic-like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Severe hemolytic poison; unzips erythrocyte membranes, causing acute renal failure.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Formaldehyde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$\text{CH}_2\text{O}$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Carcinogen / Tissue Preservative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Pickle-like; pungent, stinging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STEL: 2 ppm.</w:t>
            </w:r>
            <w:r w:rsidDel="00000000" w:rsidR="00000000" w:rsidRPr="00000000">
              <w:rPr>
                <w:vertAlign w:val="baseline"/>
                <w:rtl w:val="0"/>
              </w:rPr>
              <w:t xml:space="preserve"> Forces immediate claudin tight-junction protein cross-linking in mucosa.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Benzene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$\text{C}_6\text{H}_6$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Myelotoxic Solvent / OSHA Carcinogen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10.32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Sweet, aromatic, gasoline-like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PEL: 1 ppm.</w:t>
            </w:r>
            <w:r w:rsidDel="00000000" w:rsidR="00000000" w:rsidRPr="00000000">
              <w:rPr>
                <w:vertAlign w:val="baseline"/>
                <w:rtl w:val="0"/>
              </w:rPr>
              <w:t xml:space="preserve"> Highly symmetric polyene cloud; causes long-term bone marrow ablation.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Methyl Mercaptan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$\text{CH}_4\text{S}$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Natural Gas Warning Additive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1.52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Decaying cabbage; stagnant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Added to odorless methane ($\mu=0\text{ D}$) to leverage long-range kinetic drawing for leak detection.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Chlorine Gas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$\text{Cl}_2$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Choking &amp; Halogen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Bleach-like; sharp, pungent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Forms hydrochloric and hypochlorous acids upon contact with wet mucosal permittivity lattices.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Skatole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$\text{C}_9\text{H}_9\text{N}$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Putrefaction / Trauma Biomarker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15.42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Fecal, decaying, foul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Clinical Pathology:</w:t>
            </w:r>
            <w:r w:rsidDel="00000000" w:rsidR="00000000" w:rsidRPr="00000000">
              <w:rPr>
                <w:vertAlign w:val="baseline"/>
                <w:rtl w:val="0"/>
              </w:rPr>
              <w:t xml:space="preserve"> Tracks advanced tissue putrefaction, gangrene, and severe bowel necrosis.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Carbon Monoxide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$\text{CO}$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Chemical Asphyxiant / Toxic Gas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0.11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Odorless / Tasteless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Highly dangerous due to lack of a permanent dipole; silently binds hemoglobin to cause tissue ischemia.</w:t>
            </w:r>
          </w:p>
        </w:tc>
      </w:tr>
    </w:tbl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Note.</w:t>
      </w:r>
      <w:r w:rsidDel="00000000" w:rsidR="00000000" w:rsidRPr="00000000">
        <w:rPr>
          <w:rtl w:val="0"/>
        </w:rPr>
        <w:t xml:space="preserve"> All structural coordinates, polarization axes, and electrodynamic field constants are calculated and validated using the parametric metrics derived from the Radiofrequency Radiation Division, Brooks Air Force Base [Al-Adami &amp; Ibrahim, 2025; Gabriel, 1996; U.S. Food and Drug Administration, 2023].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Verification of Physical Emergency Labeling Records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Personnel must verify chemical storage labels, NFPA placarding, and Safety Data Sheets (SDS) to ensure operational standards align with institutional toxicological protocols [U.S. Food and Drug Administration, 2023; VirusTC, 2026].</w:t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Trusted Official Resources Bibliography (APA 7th Edition)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Full bibliographic details for cited works, including Al-Adami &amp; Ibrahim (2025), Federal Communications Commission (2026), and related dielectric and olfactory references, can be found in the referenced documents [Al-Adami &amp; Ibrahim, 2025; Federal Communications Commission, 2026; Gabriel, 1996; Gabriel et al., 1996; Sartori &amp; Lloyd, 2014; U.S. Food and Drug Administration, 2023; Venkatesh &amp; Raghavan, 2004; VirusTC, 2026].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