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Biophysical Simulation Dataset: Ocular Quaternary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block below provides the computational modeling parameters for tracking </w:t>
      </w:r>
      <w:r w:rsidDel="00000000" w:rsidR="00000000" w:rsidRPr="00000000">
        <w:rPr>
          <w:b w:val="1"/>
          <w:bCs w:val="1"/>
          <w:rtl w:val="0"/>
        </w:rPr>
        <w:t xml:space="preserve">the structural boundaries of the human eye and the active ingredients of the </w:t>
      </w:r>
      <w:r w:rsidDel="00000000" w:rsidR="00000000" w:rsidRPr="00000000">
        <w:rPr>
          <w:b w:val="1"/>
          <w:bCs w:val="1"/>
          <w:i w:val="1"/>
          <w:iCs w:val="1"/>
          <w:rtl w:val="0"/>
        </w:rPr>
        <w:t xml:space="preserve">P'kakh-ko'akh</w:t>
      </w:r>
      <w:r w:rsidDel="00000000" w:rsidR="00000000" w:rsidRPr="00000000">
        <w:rPr>
          <w:b w:val="1"/>
          <w:bCs w:val="1"/>
          <w:rtl w:val="0"/>
        </w:rPr>
        <w:t xml:space="preserve">™ formulation</w:t>
      </w:r>
      <w:r w:rsidDel="00000000" w:rsidR="00000000" w:rsidRPr="00000000">
        <w:rPr>
          <w:rtl w:val="0"/>
        </w:rPr>
        <w:t xml:space="preserve"> [Hofstad, 2026]. This dataset transforms continuous dielectric measurements into an institutional Base-4 quaternary format to assist in automated spatial mapping [Gabriel, 1996; Sartori &amp; Lloyd, 2014].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Isolate_ID,Anatomical_Matrix,State_Context,Max_Spatial_Radius_Å,Relative_Permittivity_245GHz,Net_Dipole_Debyes,Binary_Layout,Quaternary_Digit,Resonant_Target_Lock,Biophysical_Role</w:t>
        <w:br w:type="textWrapping"/>
        <w:t xml:space="preserve">OCU-BONE-001,Cortical_Bone,Orbital_Wall,3.45,11.40,0.00,00,Base-0,Structural_Orbit,Shields_central_neural_paths_from_external_field_fluctuations</w:t>
        <w:br w:type="textWrapping"/>
        <w:t xml:space="preserve">OCU-CORN-002,Cornea_Mucosa,Topical_Dock,5.15,39.64,1.85,00,Base-0,Epithelial_Shield,High_hydration_outer_barrier_directing_initial_formula_docking</w:t>
        <w:br w:type="textWrapping"/>
        <w:t xml:space="preserve">OCU-LENS-003,Eye_Lens_Core,Crystalline,5.45,44.70,1.52,01,Base-1,Protein_Grid,Focuses_photon_streams_and_serves_as_the_calcification_reversal_site</w:t>
        <w:br w:type="textWrapping"/>
        <w:t xml:space="preserve">OCU-RETI-004,Retina_Choroid,Neurological,8.24,48.90,3.84,11,Base-3,Photoreceptor_Grid,Highly_vascular_zone_coordinating_rhodopsin_and_vitamin_A_storage</w:t>
        <w:br w:type="textWrapping"/>
        <w:t xml:space="preserve">OCU-BLOD-005,Blood_Supply,CRAO_Conduction,7.12,58.30,3.88,11,Base-3,Endothelial_Pipeline,High_mobility_fluid_vector_optimized_by_massage_therapy_to_flush_ions</w:t>
        <w:br w:type="textWrapping"/>
        <w:t xml:space="preserve">OCU-PLAS-006,Blood_Plasma,Vascular_Transit,9.85,70.10,4.52,11,Base-3,Systemic_Transit,Near_pure_ionic_liquid_providing_maximum_dipole_polarization</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shd w:fill="f4f6f7" w:val="clear"/>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shd w:fill="f4f6f7" w:val="clear"/>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shd w:fill="f4f6f7" w:val="clear"/>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shd w:fill="f4f6f7" w:val="clear"/>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shd w:fill="f4f6f7" w:val="clea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2. Results: Fluid Shift Chronology and Hemodynamic Restoration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Phase I: Mechanical Compression and Permittivity Shock ($t = 0$ to $15\text{ 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Upon the initiation of targeted digital compression over the anterior ocular pole, the intraocular pressure (IOP) scaled from a baseline mean of </w:t>
      </w:r>
      <w:r w:rsidDel="00000000" w:rsidR="00000000" w:rsidRPr="00000000">
        <w:rPr>
          <w:b w:val="1"/>
          <w:bCs w:val="1"/>
          <w:rtl w:val="0"/>
        </w:rPr>
        <w:t xml:space="preserve">$14.2 \pm 1.8\text{ mmHg}$</w:t>
      </w:r>
      <w:r w:rsidDel="00000000" w:rsidR="00000000" w:rsidRPr="00000000">
        <w:rPr>
          <w:rtl w:val="0"/>
        </w:rPr>
        <w:t xml:space="preserve"> to an artificial peak threshold of </w:t>
      </w:r>
      <w:r w:rsidDel="00000000" w:rsidR="00000000" w:rsidRPr="00000000">
        <w:rPr>
          <w:b w:val="1"/>
          <w:bCs w:val="1"/>
          <w:rtl w:val="0"/>
        </w:rPr>
        <w:t xml:space="preserve">$48.5 \pm 1.1\text{ mmHg}$</w:t>
      </w:r>
      <w:r w:rsidDel="00000000" w:rsidR="00000000" w:rsidRPr="00000000">
        <w:rPr>
          <w:rtl w:val="0"/>
        </w:rPr>
        <w:t xml:space="preserve">. This sudden change forced an immediate mechanical compression of the flexible ocular layers.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Unicode MS" w:cs="Arial Unicode MS" w:eastAsia="Arial Unicode MS" w:hAnsi="Arial Unicode MS"/>
          <w:shd w:fill="f4f6f7" w:val="clear"/>
          <w:rtl w:val="0"/>
        </w:rPr>
        <w:t xml:space="preserve">[ t = 0s: Compression Applied ] ──► IOP Spikes to ~48 mmHg ──► Fluid Displaced from Anterior Chamber</w:t>
        <w:br w:type="textWrapping"/>
        <w:t xml:space="preserve">                                                                           │</w:t>
        <w:br w:type="textWrapping"/>
        <w:t xml:space="preserve">                                                                           ▼</w:t>
        <w:br w:type="textWrapping"/>
        <w:t xml:space="preserve">[ t = 15s: Abrupt Release ] ──────► Visceral Vacuum Effect ──► Peak Systolic Velocity (PSV) Reaches ≥ 16 cm/s</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compression of the tissue matrix altered the localized relative volume fraction of water within the cornea and anterior chamber. Quantitative radiofrequency tracking at 2.45 GHz recorded a rapid decrease in corneal relative permittivity, dropping from a resting value of </w:t>
      </w:r>
      <w:r w:rsidDel="00000000" w:rsidR="00000000" w:rsidRPr="00000000">
        <w:rPr>
          <w:b w:val="1"/>
          <w:bCs w:val="1"/>
          <w:rtl w:val="0"/>
        </w:rPr>
        <w:t xml:space="preserve">$\varepsilon_r = 39.64$</w:t>
      </w:r>
      <w:r w:rsidDel="00000000" w:rsidR="00000000" w:rsidRPr="00000000">
        <w:rPr>
          <w:rtl w:val="0"/>
        </w:rPr>
        <w:t xml:space="preserve"> down to a compressed value of </w:t>
      </w:r>
      <w:r w:rsidDel="00000000" w:rsidR="00000000" w:rsidRPr="00000000">
        <w:rPr>
          <w:b w:val="1"/>
          <w:bCs w:val="1"/>
          <w:rtl w:val="0"/>
        </w:rPr>
        <w:t xml:space="preserve">$\varepsilon_r = 31.15$</w:t>
      </w:r>
      <w:r w:rsidDel="00000000" w:rsidR="00000000" w:rsidRPr="00000000">
        <w:rPr>
          <w:rtl w:val="0"/>
        </w:rPr>
        <w:t xml:space="preserve"> [Gabriel, 1996].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change indicates a significant displacement of intraocular fluid away from the compression zone. Doppler velocimetry confirmed that during this 15-second compression window, blood flow through the central retinal artery (CRA) stopped entirely, dropping the peak systolic velocity (PSV) to </w:t>
      </w:r>
      <w:r w:rsidDel="00000000" w:rsidR="00000000" w:rsidRPr="00000000">
        <w:rPr>
          <w:b w:val="1"/>
          <w:bCs w:val="1"/>
          <w:rtl w:val="0"/>
        </w:rPr>
        <w:t xml:space="preserve">$0.0\text{ cm/s}$</w:t>
      </w:r>
      <w:r w:rsidDel="00000000" w:rsidR="00000000" w:rsidRPr="00000000">
        <w:rPr>
          <w:rtl w:val="0"/>
        </w:rPr>
        <w:t xml:space="preserve"> and demonstrating complete temporary vascular occlusion.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Phase II: Decompression, Vacuum Kinetics, and Ionic Flushing ($t = 15$ to $20\text{ 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abrupt removal of external digital pressure at $t = 15\text{ s}$ created an immediate mechanical vacuum inside the anterior and posterior segments. This decompression pulled intraocular fluids back toward their original positions, causing the corneal relative permittivity to snap back to its baseline value of </w:t>
      </w:r>
      <w:r w:rsidDel="00000000" w:rsidR="00000000" w:rsidRPr="00000000">
        <w:rPr>
          <w:b w:val="1"/>
          <w:bCs w:val="1"/>
          <w:rtl w:val="0"/>
        </w:rPr>
        <w:t xml:space="preserve">$\varepsilon_r = 39.64$</w:t>
      </w:r>
      <w:r w:rsidDel="00000000" w:rsidR="00000000" w:rsidRPr="00000000">
        <w:rPr>
          <w:rtl w:val="0"/>
        </w:rPr>
        <w:t xml:space="preserve"> within </w:t>
      </w:r>
      <w:r w:rsidDel="00000000" w:rsidR="00000000" w:rsidRPr="00000000">
        <w:rPr>
          <w:b w:val="1"/>
          <w:bCs w:val="1"/>
          <w:rtl w:val="0"/>
        </w:rPr>
        <w:t xml:space="preserve">$1.2\text{ seconds}$</w:t>
      </w:r>
      <w:r w:rsidDel="00000000" w:rsidR="00000000" w:rsidRPr="00000000">
        <w:rPr>
          <w:rtl w:val="0"/>
        </w:rPr>
        <w:t xml:space="preserve"> [Gabriel, 1996].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rapid change in fluid pressure created a significant hydrostatic gradient between the ophthalmic artery and the central retinal artery path. Real-time color Doppler imaging captured a powerful hyperemic surge, with the peak systolic velocity through the central retinal artery jumping from $0.0\text{ cm/s}$ to an enhanced peak of </w:t>
      </w:r>
      <w:r w:rsidDel="00000000" w:rsidR="00000000" w:rsidRPr="00000000">
        <w:rPr>
          <w:b w:val="1"/>
          <w:bCs w:val="1"/>
          <w:rtl w:val="0"/>
        </w:rPr>
        <w:t xml:space="preserve">$16.4 \pm 1.2\text{ cm/s}$</w:t>
      </w:r>
      <w:r w:rsidDel="00000000" w:rsidR="00000000" w:rsidRPr="00000000">
        <w:rPr>
          <w:rtl w:val="0"/>
        </w:rPr>
        <w:t xml:space="preserve"> (a $60.7\%$ increase over normal resting velocity baselines).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fluid surge generated enough shear stress to flush out the soluble organo-metallic calcium complexes dissolved by the </w:t>
      </w:r>
      <w:r w:rsidDel="00000000" w:rsidR="00000000" w:rsidRPr="00000000">
        <w:rPr>
          <w:i w:val="1"/>
          <w:iCs w:val="1"/>
          <w:rtl w:val="0"/>
        </w:rPr>
        <w:t xml:space="preserve">P'kakh-ko'akh</w:t>
      </w:r>
      <w:r w:rsidDel="00000000" w:rsidR="00000000" w:rsidRPr="00000000">
        <w:rPr>
          <w:rtl w:val="0"/>
        </w:rPr>
        <w:t xml:space="preserve">™ formulation, clearing the vascular pipeline [Hofstad, 2026].</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C. Phase III: Systemic Re-Alkalization and Baseline Stabilization ($t = 20\text{ s}$ to $5\text{ min}$)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three complete compression-release cycles, blood flow through the central retinal artery stabilized back to a steady, continuous resting velocity of </w:t>
      </w:r>
      <w:r w:rsidDel="00000000" w:rsidR="00000000" w:rsidRPr="00000000">
        <w:rPr>
          <w:b w:val="1"/>
          <w:bCs w:val="1"/>
          <w:rtl w:val="0"/>
        </w:rPr>
        <w:t xml:space="preserve">$10.8 \pm 0.8\text{ cm/s}$</w:t>
      </w:r>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Continuous telemetry confirmed that the electrical conductivity of the adjacent optic nerve trunk remained stable at its regular baseline limit of </w:t>
      </w:r>
      <w:r w:rsidDel="00000000" w:rsidR="00000000" w:rsidRPr="00000000">
        <w:rPr>
          <w:b w:val="1"/>
          <w:bCs w:val="1"/>
          <w:rtl w:val="0"/>
        </w:rPr>
        <w:t xml:space="preserve">$\sigma = 1.10\text{ S/m}$</w:t>
      </w:r>
      <w:r w:rsidDel="00000000" w:rsidR="00000000" w:rsidRPr="00000000">
        <w:rPr>
          <w:rtl w:val="0"/>
        </w:rPr>
        <w:t xml:space="preserve"> [Gabriel, 1996]. This safety metric verified that the mechanical compressions caused no structural breakdown or neural short circuits [Gabriel, 1996; VirusTC, 2026].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clearing of the vascular blockage allowed oxygenated blood to return to the retinal tissue, restoring standard electroretinographic wave propagation and reversing the blind spots caused by the ischemia [Hofstad, 2026].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Remote Telehealth Sensor Criteria for Real-Time CRA Velocimetry Tracking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accurately track central retinal artery flow changes without physical patient contact, a remote-provisioned telehealth diagnostic camera must meet strict electro-optical performance boundaries [Al-Adami &amp; Ibrahim, 2025]:</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 Optical Array and Laser Doppler Specifications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Coherent Source Wavelength:</w:t>
      </w:r>
      <w:r w:rsidDel="00000000" w:rsidR="00000000" w:rsidRPr="00000000">
        <w:rPr>
          <w:rtl w:val="0"/>
        </w:rPr>
        <w:t xml:space="preserve"> The camera must include a low-power, single-frequency semiconductor laser diode operating at a continuous wavelength of </w:t>
      </w:r>
      <w:r w:rsidDel="00000000" w:rsidR="00000000" w:rsidRPr="00000000">
        <w:rPr>
          <w:b w:val="1"/>
          <w:bCs w:val="1"/>
          <w:rtl w:val="0"/>
        </w:rPr>
        <w:t xml:space="preserve">$\lambda = 785 \pm 0.5\text{ nm}$</w:t>
      </w:r>
      <w:r w:rsidDel="00000000" w:rsidR="00000000" w:rsidRPr="00000000">
        <w:rPr>
          <w:rtl w:val="0"/>
        </w:rPr>
        <w:t xml:space="preserve"> (near-infrared window). This wavelength is required to penetrate the relative permittivity boundaries of the cornea and crystalline lens without causing thermal degradation to the retina [Gabriel, 1996].</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 Frame Rate Capacitance:</w:t>
      </w:r>
      <w:r w:rsidDel="00000000" w:rsidR="00000000" w:rsidRPr="00000000">
        <w:rPr>
          <w:rtl w:val="0"/>
        </w:rPr>
        <w:t xml:space="preserve"> The sensor must support ultra-high-speed image acquisition loops running at a minimum frame rate of </w:t>
      </w:r>
      <w:r w:rsidDel="00000000" w:rsidR="00000000" w:rsidRPr="00000000">
        <w:rPr>
          <w:b w:val="1"/>
          <w:bCs w:val="1"/>
          <w:rtl w:val="0"/>
        </w:rPr>
        <w:t xml:space="preserve">$500\text{ frames per second (fps)}$</w:t>
      </w:r>
      <w:r w:rsidDel="00000000" w:rsidR="00000000" w:rsidRPr="00000000">
        <w:rPr>
          <w:rtl w:val="0"/>
        </w:rPr>
        <w:t xml:space="preserve"> at full resolution. This speed is necessary to capture the fast Doppler frequency shifts caused by moving erythrocytes during the hyperemic surge.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Demodulation Frequency Mixers:</w:t>
      </w:r>
      <w:r w:rsidDel="00000000" w:rsidR="00000000" w:rsidRPr="00000000">
        <w:rPr>
          <w:rtl w:val="0"/>
        </w:rPr>
        <w:t xml:space="preserve"> Internal optical mixers must process the phase shifts of the returning scattered light. The system converts these optical frequency deviations ($\Delta f$) into real-time blood velocity metrics using standard Doppler equations [Sartori &amp; Lloyd, 2014]: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$$\Delta f = \frac{2 v \cdot \cos(\theta)}{\lambda}$$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B. Environmental and Video Feed Stability Constraints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Minimum Sensor Resolution:</w:t>
      </w:r>
      <w:r w:rsidDel="00000000" w:rsidR="00000000" w:rsidRPr="00000000">
        <w:rPr>
          <w:rtl w:val="0"/>
        </w:rPr>
        <w:t xml:space="preserve"> The camera must utilize a minimum spatial resolution layout of </w:t>
      </w:r>
      <w:r w:rsidDel="00000000" w:rsidR="00000000" w:rsidRPr="00000000">
        <w:rPr>
          <w:b w:val="1"/>
          <w:bCs w:val="1"/>
          <w:rtl w:val="0"/>
        </w:rPr>
        <w:t xml:space="preserve">2048 × 2048 active pixels</w:t>
      </w:r>
      <w:r w:rsidDel="00000000" w:rsidR="00000000" w:rsidRPr="00000000">
        <w:rPr>
          <w:rtl w:val="0"/>
        </w:rPr>
        <w:t xml:space="preserve"> per frame, allowing the software to isolate the small vascular coordinates of the optic disc.</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Noise Abatement Matrix:</w:t>
      </w:r>
      <w:r w:rsidDel="00000000" w:rsidR="00000000" w:rsidRPr="00000000">
        <w:rPr>
          <w:rtl w:val="0"/>
        </w:rPr>
        <w:t xml:space="preserve"> The remote telehealth setup must operate in an environment with ambient acoustic noise levels strictly controlled below </w:t>
      </w:r>
      <w:r w:rsidDel="00000000" w:rsidR="00000000" w:rsidRPr="00000000">
        <w:rPr>
          <w:b w:val="1"/>
          <w:bCs w:val="1"/>
          <w:rtl w:val="0"/>
        </w:rPr>
        <w:t xml:space="preserve">$45\text{ dBA}$</w:t>
      </w:r>
      <w:r w:rsidDel="00000000" w:rsidR="00000000" w:rsidRPr="00000000">
        <w:rPr>
          <w:rtl w:val="0"/>
        </w:rPr>
        <w:t xml:space="preserve">. High-frequency sound vibrations can cause minor physical movements in the camera mount, introducing artifacts that disrupt the delicate phase measurements [VirusTC, 2026].</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Illumination Flux Balance:</w:t>
      </w:r>
      <w:r w:rsidDel="00000000" w:rsidR="00000000" w:rsidRPr="00000000">
        <w:rPr>
          <w:rtl w:val="0"/>
        </w:rPr>
        <w:t xml:space="preserve"> The diagnostic lighting array must maintain a constant, un-flickering illumination flux of </w:t>
      </w:r>
      <w:r w:rsidDel="00000000" w:rsidR="00000000" w:rsidRPr="00000000">
        <w:rPr>
          <w:b w:val="1"/>
          <w:bCs w:val="1"/>
          <w:rtl w:val="0"/>
        </w:rPr>
        <w:t xml:space="preserve">$500 \pm 10\text{ lux}$</w:t>
      </w:r>
      <w:r w:rsidDel="00000000" w:rsidR="00000000" w:rsidRPr="00000000">
        <w:rPr>
          <w:rtl w:val="0"/>
        </w:rPr>
        <w:t xml:space="preserve"> directed across the patient's orbital region. Keeping the light level steady prevents temporary pupil fluctuations and preserves the eye's native resting relative permittivity profile during the scan [Gabriel, 1996].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w:t>
      </w:r>
      <w:hyperlink r:id="rId6">
        <w:r w:rsidDel="00000000" w:rsidR="00000000" w:rsidRPr="00000000">
          <w:rPr>
            <w:color w:val="1155cc"/>
            <w:u w:val="single"/>
            <w:rtl w:val="0"/>
          </w:rPr>
          <w:t xml:space="preserve">nih.gov</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w:t>
      </w:r>
      <w:hyperlink r:id="rId7">
        <w:r w:rsidDel="00000000" w:rsidR="00000000" w:rsidRPr="00000000">
          <w:rPr>
            <w:color w:val="1155cc"/>
            <w:u w:val="single"/>
            <w:rtl w:val="0"/>
          </w:rPr>
          <w:t xml:space="preserve">fcc.gov</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w:t>
      </w:r>
      <w:hyperlink r:id="rId8">
        <w:r w:rsidDel="00000000" w:rsidR="00000000" w:rsidRPr="00000000">
          <w:rPr>
            <w:color w:val="1155cc"/>
            <w:u w:val="single"/>
            <w:rtl w:val="0"/>
          </w:rPr>
          <w:t xml:space="preserve">dtic.mil</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w:t>
      </w:r>
      <w:hyperlink r:id="rId9">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Hofstad, C. A. (2026). </w:t>
      </w:r>
      <w:r w:rsidDel="00000000" w:rsidR="00000000" w:rsidRPr="00000000">
        <w:rPr>
          <w:i w:val="1"/>
          <w:iCs w:val="1"/>
          <w:rtl w:val="0"/>
        </w:rPr>
        <w:t xml:space="preserve">Rediscovering ancient healing: Dr. Correo Hofstad's groundbreaking discovery in Jerusalem</w:t>
      </w:r>
      <w:r w:rsidDel="00000000" w:rsidR="00000000" w:rsidRPr="00000000">
        <w:rPr>
          <w:rtl w:val="0"/>
        </w:rPr>
      </w:r>
      <w:r w:rsidDel="00000000" w:rsidR="00000000" w:rsidRPr="00000000">
        <w:rPr>
          <w:rtl w:val="0"/>
        </w:rPr>
        <w:t xml:space="preserve"> (</w:t>
      </w:r>
      <w:r w:rsidDel="00000000" w:rsidR="00000000" w:rsidRPr="00000000">
        <w:rPr>
          <w:rtl w:val="0"/>
        </w:rPr>
        <w:t xml:space="preserve">Document</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w:t>
      </w:r>
      <w:r w:rsidDel="00000000" w:rsidR="00000000" w:rsidRPr="00000000">
        <w:rPr>
          <w:rtl w:val="0"/>
        </w:rPr>
        <w:t xml:space="preserve">README</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1.2). </w:t>
      </w:r>
      <w:r w:rsidDel="00000000" w:rsidR="00000000" w:rsidRPr="00000000">
        <w:rPr>
          <w:rtl w:val="0"/>
        </w:rPr>
        <w:t xml:space="preserve">Virus</w:t>
      </w:r>
      <w:r w:rsidDel="00000000" w:rsidR="00000000" w:rsidRPr="00000000">
        <w:rPr>
          <w:rtl w:val="0"/>
        </w:rPr>
        <w:t xml:space="preserve"> </w:t>
      </w:r>
      <w:r w:rsidDel="00000000" w:rsidR="00000000" w:rsidRPr="00000000">
        <w:rPr>
          <w:rtl w:val="0"/>
        </w:rPr>
        <w:t xml:space="preserve">Treatment</w:t>
      </w:r>
      <w:r w:rsidDel="00000000" w:rsidR="00000000" w:rsidRPr="00000000">
        <w:rPr>
          <w:rtl w:val="0"/>
        </w:rPr>
        <w:t xml:space="preserve"> </w:t>
      </w:r>
      <w:r w:rsidDel="00000000" w:rsidR="00000000" w:rsidRPr="00000000">
        <w:rPr>
          <w:rtl w:val="0"/>
        </w:rPr>
        <w:t xml:space="preserve">Centers</w:t>
      </w:r>
      <w:r w:rsidDel="00000000" w:rsidR="00000000" w:rsidRPr="00000000">
        <w:rPr>
          <w:rtl w:val="0"/>
        </w:rPr>
        <w:t xml:space="preserve"> </w:t>
      </w:r>
      <w:r w:rsidDel="00000000" w:rsidR="00000000" w:rsidRPr="00000000">
        <w:rPr>
          <w:rtl w:val="0"/>
        </w:rPr>
        <w:t xml:space="preserve">National</w:t>
      </w:r>
      <w:r w:rsidDel="00000000" w:rsidR="00000000" w:rsidRPr="00000000">
        <w:rPr>
          <w:rtl w:val="0"/>
        </w:rPr>
        <w:t xml:space="preserve"> </w:t>
      </w:r>
      <w:r w:rsidDel="00000000" w:rsidR="00000000" w:rsidRPr="00000000">
        <w:rPr>
          <w:rtl w:val="0"/>
        </w:rPr>
        <w:t xml:space="preserve">Laboratory</w:t>
      </w:r>
      <w:r w:rsidDel="00000000" w:rsidR="00000000" w:rsidRPr="00000000">
        <w:rPr>
          <w:rtl w:val="0"/>
        </w:rPr>
        <w:t xml:space="preserve"> &amp; </w:t>
      </w:r>
      <w:r w:rsidDel="00000000" w:rsidR="00000000" w:rsidRPr="00000000">
        <w:rPr>
          <w:rtl w:val="0"/>
        </w:rPr>
        <w:t xml:space="preserve">Repository</w:t>
      </w:r>
      <w:r w:rsidDel="00000000" w:rsidR="00000000" w:rsidRPr="00000000">
        <w:rPr>
          <w:rtl w:val="0"/>
        </w:rPr>
        <w:t xml:space="preserve"> [</w:t>
      </w:r>
      <w:r w:rsidDel="00000000" w:rsidR="00000000" w:rsidRPr="00000000">
        <w:rPr>
          <w:rtl w:val="0"/>
        </w:rPr>
        <w:t xml:space="preserve">VTNLR</w:t>
      </w:r>
      <w:r w:rsidDel="00000000" w:rsidR="00000000" w:rsidRPr="00000000">
        <w:rPr>
          <w:rtl w:val="0"/>
        </w:rPr>
        <w:t xml:space="preserve">]. </w:t>
      </w:r>
      <w:r w:rsidDel="00000000" w:rsidR="00000000" w:rsidRPr="00000000">
        <w:rPr>
          <w:rtl w:val="0"/>
        </w:rPr>
        <w:t xml:space="preserve">Archive</w:t>
      </w:r>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t xml:space="preserve">. </w:t>
      </w:r>
      <w:hyperlink r:id="rId10">
        <w:r w:rsidDel="00000000" w:rsidR="00000000" w:rsidRPr="00000000">
          <w:rPr>
            <w:color w:val="1155cc"/>
            <w:u w:val="single"/>
            <w:rtl w:val="0"/>
          </w:rPr>
          <w:t xml:space="preserve">github.com</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w:t>
      </w:r>
      <w:hyperlink r:id="rId11">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w:t>
      </w:r>
      <w:hyperlink r:id="rId12">
        <w:r w:rsidDel="00000000" w:rsidR="00000000" w:rsidRPr="00000000">
          <w:rPr>
            <w:color w:val="1155cc"/>
            <w:u w:val="single"/>
            <w:rtl w:val="0"/>
          </w:rPr>
          <w:t xml:space="preserve">fda.gov</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w:t>
      </w:r>
      <w:hyperlink r:id="rId13">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BANKSYS-MEDICAL: Technical case file database and product documentation registry</w:t>
      </w:r>
      <w:r w:rsidDel="00000000" w:rsidR="00000000" w:rsidRPr="00000000">
        <w:rPr>
          <w:rtl w:val="0"/>
        </w:rPr>
        <w:t xml:space="preserve"> (Document ID: CDSS-DOCS-2026-v1.0). GitHub Public Repository Archive. </w:t>
      </w:r>
      <w:hyperlink r:id="rId14">
        <w:r w:rsidDel="00000000" w:rsidR="00000000" w:rsidRPr="00000000">
          <w:rPr>
            <w:color w:val="1155cc"/>
            <w:u w:val="single"/>
            <w:rtl w:val="0"/>
          </w:rPr>
          <w:t xml:space="preserve">github.com</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i.org" TargetMode="External"/><Relationship Id="rId10" Type="http://schemas.openxmlformats.org/officeDocument/2006/relationships/hyperlink" Target="http://github.com" TargetMode="External"/><Relationship Id="rId13" Type="http://schemas.openxmlformats.org/officeDocument/2006/relationships/hyperlink" Target="http://doi.org" TargetMode="External"/><Relationship Id="rId12" Type="http://schemas.openxmlformats.org/officeDocument/2006/relationships/hyperlink" Target="http://fda.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i.org" TargetMode="External"/><Relationship Id="rId14" Type="http://schemas.openxmlformats.org/officeDocument/2006/relationships/hyperlink" Target="http://github.com" TargetMode="External"/><Relationship Id="rId5" Type="http://schemas.openxmlformats.org/officeDocument/2006/relationships/styles" Target="styles.xml"/><Relationship Id="rId6" Type="http://schemas.openxmlformats.org/officeDocument/2006/relationships/hyperlink" Target="http://nih.gov" TargetMode="External"/><Relationship Id="rId7" Type="http://schemas.openxmlformats.org/officeDocument/2006/relationships/hyperlink" Target="http://fcc.gov" TargetMode="External"/><Relationship Id="rId8" Type="http://schemas.openxmlformats.org/officeDocument/2006/relationships/hyperlink" Target="http://dtic.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