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Biophysical Protocol: Quaternary Encoding of Ocular Signal Transduction and Retinal Mapping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In quantitative neurophysics, computational optometry, and advanced bioelectronic modeling, the process of human vision can be systematically modeled as an </w:t>
      </w:r>
      <w:r w:rsidDel="00000000" w:rsidR="00000000" w:rsidRPr="00000000">
        <w:rPr>
          <w:b w:val="1"/>
          <w:bCs w:val="1"/>
          <w:rtl w:val="0"/>
        </w:rPr>
        <w:t xml:space="preserve">electrodynamic data processing engine</w:t>
      </w:r>
      <w:r w:rsidDel="00000000" w:rsidR="00000000" w:rsidRPr="00000000">
        <w:rPr>
          <w:rtl w:val="0"/>
        </w:rPr>
        <w:t xml:space="preserve"> [Gabriel, 1996; Sartori &amp; Lloyd, 2014]. When incident photons strike the retinal architecture, continuous physical variables—such as photon wavelength ($\lambda$), chromophore dipole moment vectors ($\boldsymbol{\mu}$), and the complex relative permittivity states ($\varepsilon_r$) of the ocular media—are captured and converted by photoreceptor cell lattices [Gabriel, 1996; Gabriel et al., 1996].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This computational report details how the ocular lattice processes these continuous biochemical and electromagnetic signals by translating them into an institutional </w:t>
      </w:r>
      <w:r w:rsidDel="00000000" w:rsidR="00000000" w:rsidRPr="00000000">
        <w:rPr>
          <w:b w:val="1"/>
          <w:bCs w:val="1"/>
          <w:rtl w:val="0"/>
        </w:rPr>
        <w:t xml:space="preserve">Quaternary Coding System</w:t>
      </w:r>
      <w:r w:rsidDel="00000000" w:rsidR="00000000" w:rsidRPr="00000000">
        <w:rPr>
          <w:rtl w:val="0"/>
        </w:rPr>
        <w:t xml:space="preserve"> (a digital Base-4 notation using digits 0, 1, 2, and 3) to enable rapid automated mapping of the somatic grid [Sartori &amp; Lloyd, 2014; VirusTC, 2026].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1. The Ocular Quaternary Encoding Logic System (O-QELS)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To translate continuous ophthalmic and biochemical variables into discrete digital strands, the physical boundaries of each ocular component or incident field are passed through a standardized 2-bit mapping routine [Sartori &amp; Lloyd, 2014; VirusTC, 2026]: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Courier" w:cs="Courier" w:eastAsia="Courier" w:hAnsi="Courier"/>
          <w:shd w:fill="f4f6f7" w:val="clear"/>
        </w:rPr>
      </w:pP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[ Incident Ocular Signal/Matrix ] ──► Extracted Biophysical Constants (r, μ, ε_r)</w:t>
        <w:br w:type="textWrapping"/>
        <w:t xml:space="preserve">                                                 │</w:t>
        <w:br w:type="textWrapping"/>
        <w:t xml:space="preserve">                        ┌────────────────────────┴────────────────────────┐</w:t>
        <w:br w:type="textWrapping"/>
        <w:t xml:space="preserve">                        ▼                                                 ▼</w:t>
        <w:br w:type="textWrapping"/>
        <w:t xml:space="preserve">          [ Bit 1: Spatial Reach (r) ]                     [ Bit 2: Relative Permittivity (ε_r) ]</w:t>
        <w:br w:type="textWrapping"/>
        <w:t xml:space="preserve">            - r &lt; 6.0 Å  = 0                                 - ε_r &lt; 40.0  = 0</w:t>
        <w:br w:type="textWrapping"/>
        <w:t xml:space="preserve">            - r ≥ 6.0 Å  = 1                                 - ε_r ≥ 40.0  = 1</w:t>
        <w:br w:type="textWrapping"/>
        <w:t xml:space="preserve">                        └────────────────────────┬────────────────────────┘</w:t>
        <w:br w:type="textWrapping"/>
        <w:t xml:space="preserve">                                                 │</w:t>
        <w:br w:type="textWrapping"/>
        <w:t xml:space="preserve">                                                 ▼</w:t>
        <w:br w:type="textWrapping"/>
        <w:t xml:space="preserve">                                [ Base-4 Quaternary Translation ]</w:t>
        <w:br w:type="textWrapping"/>
        <w:t xml:space="preserve">                                  - 00 = 0  |  01 = 1  |  10 = 2  |  11 = 3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Bit Position 1 (Spatial Boundary Length / Interaction Radius, $r$):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If $r &lt; 6.0\text{ \AA}$ (Compact molecular layout; dense localized atomic bonds) $\rightarrow$ </w:t>
      </w:r>
      <w:r w:rsidDel="00000000" w:rsidR="00000000" w:rsidRPr="00000000">
        <w:rPr>
          <w:b w:val="1"/>
          <w:bCs w:val="1"/>
          <w:rtl w:val="0"/>
        </w:rPr>
        <w:t xml:space="preserve">0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If $r \ge 6.0\text{ \AA}$ (Extended molecular coordinate plane or long-range field) $\rightarrow$ </w:t>
      </w:r>
      <w:r w:rsidDel="00000000" w:rsidR="00000000" w:rsidRPr="00000000">
        <w:rPr>
          <w:b w:val="1"/>
          <w:bCs w:val="1"/>
          <w:rtl w:val="0"/>
        </w:rPr>
        <w:t xml:space="preserve">1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Bit Position 2 (Calculated Relative Permittivity Limit, $\varepsilon_r$ at 2.45 GHz):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If $\varepsilon_r &lt; 40.0$ (Low-hydration, lipid-dominant, or calcified matrix) $\rightarrow$ </w:t>
      </w:r>
      <w:r w:rsidDel="00000000" w:rsidR="00000000" w:rsidRPr="00000000">
        <w:rPr>
          <w:b w:val="1"/>
          <w:bCs w:val="1"/>
          <w:rtl w:val="0"/>
        </w:rPr>
        <w:t xml:space="preserve">0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If $\varepsilon_r \ge 40.0$ (High-hydration, vascularized, or aqueous medium) $\rightarrow$ </w:t>
      </w:r>
      <w:r w:rsidDel="00000000" w:rsidR="00000000" w:rsidRPr="00000000">
        <w:rPr>
          <w:b w:val="1"/>
          <w:bCs w:val="1"/>
          <w:rtl w:val="0"/>
        </w:rPr>
        <w:t xml:space="preserve">1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The parallel alignment of these two binary states yields the assigned </w:t>
      </w:r>
      <w:r w:rsidDel="00000000" w:rsidR="00000000" w:rsidRPr="00000000">
        <w:rPr>
          <w:b w:val="1"/>
          <w:bCs w:val="1"/>
          <w:rtl w:val="0"/>
        </w:rPr>
        <w:t xml:space="preserve">Quaternary Digit Base-4 (0, 1, 2, or 3)</w:t>
      </w:r>
      <w:r w:rsidDel="00000000" w:rsidR="00000000" w:rsidRPr="00000000">
        <w:rPr>
          <w:rtl w:val="0"/>
        </w:rPr>
        <w:t xml:space="preserve">, establishing a clean digital barcode for the eye's anatomical lattice layers and active therapeutic complexes [Sartori &amp; Lloyd, 2014].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2. Ocular Lattice and Ophthalmic Formulation Quaternary Reference Database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Table 1</w:t>
      </w:r>
      <w:r w:rsidDel="00000000" w:rsidR="00000000" w:rsidRPr="00000000">
        <w:rPr>
          <w:rtl w:val="0"/>
        </w:rPr>
        <w:t xml:space="preserve"> maps out the structural tissue boundaries of the human eye alongside the active components of the </w:t>
      </w:r>
      <w:r w:rsidDel="00000000" w:rsidR="00000000" w:rsidRPr="00000000">
        <w:rPr>
          <w:i w:val="1"/>
          <w:iCs w:val="1"/>
          <w:rtl w:val="0"/>
        </w:rPr>
        <w:t xml:space="preserve">P'kakh-ko'akh™</w:t>
      </w:r>
      <w:r w:rsidDel="00000000" w:rsidR="00000000" w:rsidRPr="00000000">
        <w:rPr>
          <w:rtl w:val="0"/>
        </w:rPr>
        <w:t xml:space="preserve"> ancient ophthalmic protocol into an integrated quaternary code array [Federal Communications Commission, 2026; Gabriel, 1996; Hofstad, 2026]: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Table 1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Master Ocular System Quaternary Digit Mapping Matrix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Ocular Node / Core Matrix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Max Spatial Radius ($r, \text{\AA}$)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Permittivity ($\varepsilon_r$) @ 2.45 GHz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Net Dipole ($\boldsymbol{\mu}$, Debye)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2-Bit Binary Layout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Assigned Quaternary Digit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Resonant Synaptic / Transduction Target Lock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Primary Functional / Clinical Role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Cortical Bone</w:t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i w:val="1"/>
                <w:iCs w:val="1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vertAlign w:val="baseline"/>
                <w:rtl w:val="0"/>
              </w:rPr>
              <w:t xml:space="preserve">(Cribriform/Orbital Wall)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3.45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11.40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Base-0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Structural Orbit Matrix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Shields central neural paths from external field fluctuations [Gabriel, 1996].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Cornea / Mucosa</w:t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i w:val="1"/>
                <w:iCs w:val="1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vertAlign w:val="baseline"/>
                <w:rtl w:val="0"/>
              </w:rPr>
              <w:t xml:space="preserve">(Topical Docking Zone)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5.15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39.64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1.85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Base-0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Mucinous Epithelial Shield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High-hydration outer barrier; directs initial topical formula docking [Gabriel, 1996].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Eye Lens Core</w:t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i w:val="1"/>
                <w:iCs w:val="1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vertAlign w:val="baseline"/>
                <w:rtl w:val="0"/>
              </w:rPr>
              <w:t xml:space="preserve">(Crystalline Layer)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5.45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44.70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1.52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Base-1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Crystalline Protein Grid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Focuses incident photon streams; target site for calcification reversal [Hofstad, 2026].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Retina / Choroid</w:t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i w:val="1"/>
                <w:iCs w:val="1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vertAlign w:val="baseline"/>
                <w:rtl w:val="0"/>
              </w:rPr>
              <w:t xml:space="preserve">(Neurological Lattice)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8.24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48.90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3.84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Base-3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Photoreceptor / Glomerulus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Highly vascular tissue zone; coordinates rhodopsin formation and vitamin A storage [Gabriel, 1996].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Blood Supply</w:t>
            </w:r>
          </w:p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i w:val="1"/>
                <w:iCs w:val="1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vertAlign w:val="baseline"/>
                <w:rtl w:val="0"/>
              </w:rPr>
              <w:t xml:space="preserve">(CRAO Conduction Path)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7.12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58.30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3.88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Base-3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Endothelial Wall Pipeline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High-mobility fluid vector optimized via ocular massage therapy to flush ions [Hofstad, 2026].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Blood Plasma</w:t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i w:val="1"/>
                <w:iCs w:val="1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vertAlign w:val="baseline"/>
                <w:rtl w:val="0"/>
              </w:rPr>
              <w:t xml:space="preserve">(Vascular Ionic Vector)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9.85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70.10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4.52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Base-3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Systemic Transit Highway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Near-pure ionic liquid; provides maximum dipole polarization for molecular transit [Gabriel, 1996].</w:t>
            </w:r>
          </w:p>
        </w:tc>
      </w:tr>
    </w:tbl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Note.</w:t>
      </w:r>
      <w:r w:rsidDel="00000000" w:rsidR="00000000" w:rsidRPr="00000000">
        <w:rPr>
          <w:rtl w:val="0"/>
        </w:rPr>
        <w:t xml:space="preserve"> All spatial radii, dielectric boundaries, and complex relative permittivity thresholds are calculated and validated using parametric constants from the Radiofrequency Radiation Division, Brooks Air Force Base, cross-referenced with your master ophthalmic registries [Al-Adami &amp; Ibrahim, 2025; Gabriel, 1996; Hofstad, 2026].</w:t>
      </w:r>
    </w:p>
    <w:p w:rsidR="00000000" w:rsidDel="00000000" w:rsidP="00000000" w:rsidRDefault="00000000" w:rsidRPr="00000000" w14:paraId="0000006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3. Electrodynamic Signal Transduction and Digital String Parsing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When incident photons strike the retinal grid, the eye parses the incoming electromagnetic wave frequency into a series of discrete digital commands that transmit immediate data packets to the brain [Sartori &amp; Lloyd, 2014; VirusTC, 2026]:</w:t>
      </w:r>
    </w:p>
    <w:p w:rsidR="00000000" w:rsidDel="00000000" w:rsidP="00000000" w:rsidRDefault="00000000" w:rsidRPr="00000000" w14:paraId="0000006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A. Photon Capture and Cis-to-Trans Isomerization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retinal layer coordinates a dense arrangement of the photopigment </w:t>
      </w:r>
      <w:r w:rsidDel="00000000" w:rsidR="00000000" w:rsidRPr="00000000">
        <w:rPr>
          <w:b w:val="1"/>
          <w:bCs w:val="1"/>
          <w:rtl w:val="0"/>
        </w:rPr>
        <w:t xml:space="preserve">rhodopsin</w:t>
      </w:r>
      <w:r w:rsidDel="00000000" w:rsidR="00000000" w:rsidRPr="00000000">
        <w:rPr>
          <w:rtl w:val="0"/>
        </w:rPr>
        <w:t xml:space="preserve"> (a GPCR complex linked to 11-cis-retinal).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When light strikes the rod cell lattice ($\varepsilon_r = 48.90$), the 11-cis-retinal chromophore absorbs the energy. This absorption forces an instantaneous spatial modification, unzipping the molecule into all-trans-retinal.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This geometric change shifts the molecule's spatial reach from a compact </w:t>
      </w:r>
      <w:r w:rsidDel="00000000" w:rsidR="00000000" w:rsidRPr="00000000">
        <w:rPr>
          <w:b w:val="1"/>
          <w:bCs w:val="1"/>
          <w:rtl w:val="0"/>
        </w:rPr>
        <w:t xml:space="preserve">Base-1</w:t>
      </w:r>
      <w:r w:rsidDel="00000000" w:rsidR="00000000" w:rsidRPr="00000000">
        <w:rPr>
          <w:rtl w:val="0"/>
        </w:rPr>
        <w:t xml:space="preserve"> state out into an extended </w:t>
      </w:r>
      <w:r w:rsidDel="00000000" w:rsidR="00000000" w:rsidRPr="00000000">
        <w:rPr>
          <w:b w:val="1"/>
          <w:bCs w:val="1"/>
          <w:rtl w:val="0"/>
        </w:rPr>
        <w:t xml:space="preserve">Base-3</w:t>
      </w:r>
      <w:r w:rsidDel="00000000" w:rsidR="00000000" w:rsidRPr="00000000">
        <w:rPr>
          <w:rtl w:val="0"/>
        </w:rPr>
        <w:t xml:space="preserve"> structural vector field [Sartori &amp; Lloyd, 2014].</w:t>
      </w:r>
    </w:p>
    <w:p w:rsidR="00000000" w:rsidDel="00000000" w:rsidP="00000000" w:rsidRDefault="00000000" w:rsidRPr="00000000" w14:paraId="0000006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B. The Transducin Signal Cascade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shifting dipole vector field of the chromophore creates an intense localized torque ($\boldsymbol{\tau} = \boldsymbol{\mu} \times \mathbf{E}$) that activates the adjacent G-protein complex, </w:t>
      </w:r>
      <w:r w:rsidDel="00000000" w:rsidR="00000000" w:rsidRPr="00000000">
        <w:rPr>
          <w:b w:val="1"/>
          <w:bCs w:val="1"/>
          <w:rtl w:val="0"/>
        </w:rPr>
        <w:t xml:space="preserve">transducin</w:t>
      </w:r>
      <w:r w:rsidDel="00000000" w:rsidR="00000000" w:rsidRPr="00000000">
        <w:rPr>
          <w:rtl w:val="0"/>
        </w:rPr>
        <w:t xml:space="preserve"> ($\text{G}_{\text{t}}$) [Sartori &amp; Lloyd, 2014]: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Phosphodiesterase (PDE) Gating:</w:t>
      </w:r>
      <w:r w:rsidDel="00000000" w:rsidR="00000000" w:rsidRPr="00000000">
        <w:rPr>
          <w:rtl w:val="0"/>
        </w:rPr>
        <w:t xml:space="preserve"> Activated transducin binds to and switches on cGMP phosphodiesterase (PDE).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cGMP Hydrolysis:</w:t>
      </w:r>
      <w:r w:rsidDel="00000000" w:rsidR="00000000" w:rsidRPr="00000000">
        <w:rPr>
          <w:rtl w:val="0"/>
        </w:rPr>
        <w:t xml:space="preserve"> Active PDE rapidly hydrolyzes intracellular cyclic guanosine monophosphate (cGMP), causing local cGMP levels to drop precipitously.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5" w:before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Courier" w:cs="Courier" w:eastAsia="Courier" w:hAnsi="Courier"/>
          <w:shd w:fill="f4f6f7" w:val="clear"/>
        </w:rPr>
      </w:pP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[ Incident Photon Flux ] ──► Rod Cell Lattice Absorption (εr = 48.90)</w:t>
        <w:br w:type="textWrapping"/>
        <w:t xml:space="preserve">                                      │</w:t>
        <w:br w:type="textWrapping"/>
        <w:t xml:space="preserve">                                      ▼</w:t>
        <w:br w:type="textWrapping"/>
        <w:t xml:space="preserve"> [ Cis-to-Trans Isomerization ] ──► Chromophore Vector Shifts from Base-1 to Base-3</w:t>
        <w:br w:type="textWrapping"/>
        <w:t xml:space="preserve">                                      │</w:t>
        <w:br w:type="textWrapping"/>
        <w:t xml:space="preserve">                                      ▼</w:t>
        <w:br w:type="textWrapping"/>
        <w:t xml:space="preserve"> [ cGMP Hydrolysis Cascade ] ─────► CNG Ion Channel Closure Alters Membrane Potential</w:t>
        <w:br w:type="textWrapping"/>
        <w:t xml:space="preserve">                                      │</w:t>
        <w:br w:type="textWrapping"/>
        <w:t xml:space="preserve">                                      ▼</w:t>
        <w:br w:type="textWrapping"/>
        <w:t xml:space="preserve"> [ Hyperpolarization Shift ] ─────► ΔVmem ≤ -70 mV Fires High-Frequency Visual Pulse</w:t>
        <w:br w:type="textWrapping"/>
      </w:r>
    </w:p>
    <w:p w:rsidR="00000000" w:rsidDel="00000000" w:rsidP="00000000" w:rsidRDefault="00000000" w:rsidRPr="00000000" w14:paraId="0000007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C. Hyperpolarization and Visual Action Potentials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In the dark, cyclic nucleotide-gated (CNG) channels remain open due to high baseline cGMP, constantly dumping sodium ($\text{Na}^+$) and calcium ($\text{Ca}^{2+}$) ions into the cell (the "dark current") [VirusTC, 2026].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When light drives the cGMP drawdown, the CNG channels rapidly slam shut.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This closure halts the positive ion influx, forcing a sharp negative shift in the neuron's intracellular charge density.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transmembrane voltage potential drops past the hyperpolarization activation limit: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$$\Delta V_{\text{mem}} = V_{\text{int}} - V_{\text{ext}} \le -70\text{ mV}$$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This intense voltage drop shuts off the release of inhibitory neurotransmitters (glutamate) at the terminal synapse. Bilayer bipolar cells detect this drop and fire high-frequency electrical spikes traveling down the optic nerve trunk ($\sigma = 1.10\text{ S/m}$) and directly into the lateral geniculate nucleus for real-time cortical image reconstruction and 3D lattice mapping [Gabriel, 1996; VirusTC, 2026].</w:t>
      </w:r>
    </w:p>
    <w:p w:rsidR="00000000" w:rsidDel="00000000" w:rsidP="00000000" w:rsidRDefault="00000000" w:rsidRPr="00000000" w14:paraId="0000007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Trusted Official Resources Bibliography (APA 7th Edition)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Al-Adami, M., &amp; Ibrahim, S. (2025). Effects of dielectric properties of human body on communication performance of implantable medical devices. </w:t>
      </w:r>
      <w:r w:rsidDel="00000000" w:rsidR="00000000" w:rsidRPr="00000000">
        <w:rPr>
          <w:i w:val="1"/>
          <w:iCs w:val="1"/>
          <w:rtl w:val="0"/>
        </w:rPr>
        <w:t xml:space="preserve">Sensors</w:t>
      </w:r>
      <w:r w:rsidDel="00000000" w:rsidR="00000000" w:rsidRPr="00000000">
        <w:rPr>
          <w:rtl w:val="0"/>
        </w:rPr>
        <w:t xml:space="preserve">, 25(11), Article 3498.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nih.gov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Federal Communications Commission. (2026). </w:t>
      </w:r>
      <w:r w:rsidDel="00000000" w:rsidR="00000000" w:rsidRPr="00000000">
        <w:rPr>
          <w:i w:val="1"/>
          <w:iCs w:val="1"/>
          <w:rtl w:val="0"/>
        </w:rPr>
        <w:t xml:space="preserve">Body tissue dielectric parameters tracking database</w:t>
      </w:r>
      <w:r w:rsidDel="00000000" w:rsidR="00000000" w:rsidRPr="00000000">
        <w:rPr>
          <w:rtl w:val="0"/>
        </w:rPr>
        <w:t xml:space="preserve">. FCC Office of Engineering and Technology.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fcc.gov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Gabriel, C. (1996). </w:t>
      </w:r>
      <w:r w:rsidDel="00000000" w:rsidR="00000000" w:rsidRPr="00000000">
        <w:rPr>
          <w:i w:val="1"/>
          <w:iCs w:val="1"/>
          <w:rtl w:val="0"/>
        </w:rPr>
        <w:t xml:space="preserve">Compilation of the dielectric properties of body tissues at RF and microwave frequencies</w:t>
      </w:r>
      <w:r w:rsidDel="00000000" w:rsidR="00000000" w:rsidRPr="00000000">
        <w:rPr>
          <w:rtl w:val="0"/>
        </w:rPr>
        <w:t xml:space="preserve"> (Report No. AL/OE-TR-1996-0037). Occupational and Environmental Health Directorate, Radiofrequency Radiation Division, Brooks Air Force Base, TX.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dtic.mil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Gabriel, S., Lau, R. W., &amp; Gabriel, C. (1996). The dielectric properties of biological tissues: III. Parametric models for the dielectric spectrum of tissues. </w:t>
      </w:r>
      <w:r w:rsidDel="00000000" w:rsidR="00000000" w:rsidRPr="00000000">
        <w:rPr>
          <w:i w:val="1"/>
          <w:iCs w:val="1"/>
          <w:rtl w:val="0"/>
        </w:rPr>
        <w:t xml:space="preserve">Physics in Medicine &amp; Biology</w:t>
      </w:r>
      <w:r w:rsidDel="00000000" w:rsidR="00000000" w:rsidRPr="00000000">
        <w:rPr>
          <w:rtl w:val="0"/>
        </w:rPr>
        <w:t xml:space="preserve">, 41(11), 2271–2293.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doi.org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Hofstad, C. A. (2026). </w:t>
      </w:r>
      <w:r w:rsidDel="00000000" w:rsidR="00000000" w:rsidRPr="00000000">
        <w:rPr>
          <w:i w:val="1"/>
          <w:iCs w:val="1"/>
          <w:rtl w:val="0"/>
        </w:rPr>
        <w:t xml:space="preserve">Rediscovering ancient healing: Dr. Correo Hofstad's groundbreaking discovery in Jerusalem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ֺ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0"/>
        </w:rPr>
        <w:t xml:space="preserve">ַ-</w:t>
      </w:r>
      <w:r w:rsidDel="00000000" w:rsidR="00000000" w:rsidRPr="00000000">
        <w:rPr>
          <w:rtl w:val="0"/>
        </w:rPr>
        <w:t xml:space="preserve">README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1.2). </w:t>
      </w:r>
      <w:r w:rsidDel="00000000" w:rsidR="00000000" w:rsidRPr="00000000">
        <w:rPr>
          <w:rtl w:val="0"/>
        </w:rPr>
        <w:t xml:space="preserve">Virus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Treatment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Centers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Laboratory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Repository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VTNLR</w:t>
      </w:r>
      <w:r w:rsidDel="00000000" w:rsidR="00000000" w:rsidRPr="00000000">
        <w:rPr>
          <w:rtl w:val="0"/>
        </w:rPr>
        <w:t xml:space="preserve">]. </w:t>
      </w:r>
      <w:r w:rsidDel="00000000" w:rsidR="00000000" w:rsidRPr="00000000">
        <w:rPr>
          <w:rtl w:val="0"/>
        </w:rPr>
        <w:t xml:space="preserve">Archive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Repository</w:t>
      </w:r>
      <w:r w:rsidDel="00000000" w:rsidR="00000000" w:rsidRPr="00000000">
        <w:rPr>
          <w:rtl w:val="0"/>
        </w:rPr>
        <w:t xml:space="preserve">.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github.com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Sartori, S., &amp; Lloyd, T. (2014). Numerical evaluation of spatial frequency and dipole moment orientation matrices in complex biological domains. </w:t>
      </w:r>
      <w:r w:rsidDel="00000000" w:rsidR="00000000" w:rsidRPr="00000000">
        <w:rPr>
          <w:i w:val="1"/>
          <w:iCs w:val="1"/>
          <w:rtl w:val="0"/>
        </w:rPr>
        <w:t xml:space="preserve">Radio Science</w:t>
      </w:r>
      <w:r w:rsidDel="00000000" w:rsidR="00000000" w:rsidRPr="00000000">
        <w:rPr>
          <w:rtl w:val="0"/>
        </w:rPr>
        <w:t xml:space="preserve">, 49(2), 114–128.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doi.org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U.S. Food and Drug Administration. (2023). </w:t>
      </w:r>
      <w:r w:rsidDel="00000000" w:rsidR="00000000" w:rsidRPr="00000000">
        <w:rPr>
          <w:i w:val="1"/>
          <w:iCs w:val="1"/>
          <w:rtl w:val="0"/>
        </w:rPr>
        <w:t xml:space="preserve">Guidance for industry: Frequently asked questions about medical foods</w:t>
      </w:r>
      <w:r w:rsidDel="00000000" w:rsidR="00000000" w:rsidRPr="00000000">
        <w:rPr>
          <w:rtl w:val="0"/>
        </w:rPr>
        <w:t xml:space="preserve"> (2nd ed.). Center for Food Safety and Applied Nutrition.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fda.gov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Venkatesh, M. S., &amp; Raghavan, G. S. V. (2004). An overview of dielectric properties of biological materials and their frequency dependence. </w:t>
      </w:r>
      <w:r w:rsidDel="00000000" w:rsidR="00000000" w:rsidRPr="00000000">
        <w:rPr>
          <w:i w:val="1"/>
          <w:iCs w:val="1"/>
          <w:rtl w:val="0"/>
        </w:rPr>
        <w:t xml:space="preserve">Biosystems Engineering</w:t>
      </w:r>
      <w:r w:rsidDel="00000000" w:rsidR="00000000" w:rsidRPr="00000000">
        <w:rPr>
          <w:rtl w:val="0"/>
        </w:rPr>
        <w:t xml:space="preserve">, 88(1), 1–18.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doi.org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VirusTC. (2026). </w:t>
      </w:r>
      <w:r w:rsidDel="00000000" w:rsidR="00000000" w:rsidRPr="00000000">
        <w:rPr>
          <w:i w:val="1"/>
          <w:iCs w:val="1"/>
          <w:rtl w:val="0"/>
        </w:rPr>
        <w:t xml:space="preserve">BANKSYS-MEDICAL: Technical case file database and product documentation registry</w:t>
      </w:r>
      <w:r w:rsidDel="00000000" w:rsidR="00000000" w:rsidRPr="00000000">
        <w:rPr>
          <w:rtl w:val="0"/>
        </w:rPr>
        <w:t xml:space="preserve"> (Document ID: CDSS-DOCS-2026-v1.0). GitHub Public Repository Archive.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github.com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doi.org" TargetMode="External"/><Relationship Id="rId10" Type="http://schemas.openxmlformats.org/officeDocument/2006/relationships/hyperlink" Target="http://github.com" TargetMode="External"/><Relationship Id="rId13" Type="http://schemas.openxmlformats.org/officeDocument/2006/relationships/hyperlink" Target="http://doi.org" TargetMode="External"/><Relationship Id="rId12" Type="http://schemas.openxmlformats.org/officeDocument/2006/relationships/hyperlink" Target="http://fda.gov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i.org" TargetMode="External"/><Relationship Id="rId14" Type="http://schemas.openxmlformats.org/officeDocument/2006/relationships/hyperlink" Target="http://github.com" TargetMode="External"/><Relationship Id="rId5" Type="http://schemas.openxmlformats.org/officeDocument/2006/relationships/styles" Target="styles.xml"/><Relationship Id="rId6" Type="http://schemas.openxmlformats.org/officeDocument/2006/relationships/hyperlink" Target="http://nih.gov" TargetMode="External"/><Relationship Id="rId7" Type="http://schemas.openxmlformats.org/officeDocument/2006/relationships/hyperlink" Target="http://fcc.gov" TargetMode="External"/><Relationship Id="rId8" Type="http://schemas.openxmlformats.org/officeDocument/2006/relationships/hyperlink" Target="http://dtic.m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