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Dear Editor:</w:t>
      </w:r>
    </w:p>
    <w:p w:rsidR="00000000" w:rsidDel="00000000" w:rsidP="00000000" w:rsidRDefault="00000000" w:rsidRPr="00000000" w14:paraId="00000002">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We appreciate the three reviewers’ critical evaluations, and their comments were analyzed and well received.  We examined the existence of two avirulence genes in 840 isolates as recommended by both reviewers. The manuscript was revised where changes were highlighted in yellow.  Our point-by-point response is listed below for you to verify. </w:t>
      </w:r>
    </w:p>
    <w:p w:rsidR="00000000" w:rsidDel="00000000" w:rsidP="00000000" w:rsidRDefault="00000000" w:rsidRPr="00000000" w14:paraId="00000004">
      <w:pPr>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Decision: Major revision advised</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Referee: 1</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Comments to the Author</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This manuscript aims to investigate the dynamics of AVR frequencies in Magnaporthe populations in relation to host R genes in the United States. Using 840 field isolates, the authors tracked the frequencies of Magnaporthe AVRs over six decades and identified periods of emergence of new AVR variants. The study particularly focuses on AVR-Pik, recognized by the rice R gene Pi-k, and AVR-Pita1, recognized by the rice R gene Pi-ta. The approach employed in the study is novel and the number of isolates used in this study is sufficient. The fluctuations in frequencies of Pi-k vs. AVR-Pik and Pi-ta vs. AVR-Pita are intriguing, but I have many concerns regarding the interpretations of the results.</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Major points</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1/ Do you consider Magnaporthe population in the US to be a geographically isolated population from regions such as Southeast Asia, which have diverse Magnaporthe populations? Or do you consider that Magnaporthe population in the US frequently exchanges individuals with Magnaporthe populations in other regions? If the former hypothesis is true, the variants of AVR-Pik and AVR-Pita should be considered to have independently emerged in the US. Also, the frequencies of AVR-Pik and AVR-Pita in the US should be considered to be independent of other regions. However, if the later hypothesis is true, the variants of AVR-Pik and AVR-Pita may have migrated from other regions, and the frequencies of AVR-Pik and AVR-Pita may be influenced by other regions. Please elaborate on your stance in this manuscript and provide supporting references to support your position.</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w:t>
      </w:r>
    </w:p>
    <w:p w:rsidR="00000000" w:rsidDel="00000000" w:rsidP="00000000" w:rsidRDefault="00000000" w:rsidRPr="00000000" w14:paraId="00000006">
      <w:pPr>
        <w:rPr>
          <w:rFonts w:ascii="Times New Roman" w:cs="Times New Roman" w:eastAsia="Times New Roman" w:hAnsi="Times New Roman"/>
          <w:i w:val="1"/>
          <w:color w:val="0000ff"/>
          <w:sz w:val="24"/>
          <w:szCs w:val="24"/>
          <w:highlight w:val="white"/>
        </w:rPr>
      </w:pPr>
      <w:bookmarkStart w:colFirst="0" w:colLast="0" w:name="_heading=h.gjdgxs" w:id="0"/>
      <w:bookmarkEnd w:id="0"/>
      <w:r w:rsidDel="00000000" w:rsidR="00000000" w:rsidRPr="00000000">
        <w:rPr>
          <w:rFonts w:ascii="Times New Roman" w:cs="Times New Roman" w:eastAsia="Times New Roman" w:hAnsi="Times New Roman"/>
          <w:i w:val="1"/>
          <w:color w:val="0000ff"/>
          <w:sz w:val="24"/>
          <w:szCs w:val="24"/>
          <w:highlight w:val="white"/>
          <w:rtl w:val="0"/>
        </w:rPr>
        <w:t xml:space="preserve">The majority of rice grown in the US is of domestic origin, with many different varieties developed through breeding programs and selection over the years to meet the specific needs of US growers and consumers. The M. oryzae isolates characterized in the United States population was collected over a 56-year period, genetic diversity at AVR genes is due to genetic exchanges independent to foreign regions and was due to deployed host R genes. We speculate that US blast populations are endemic and further genome sequencing of the isolates collected in 1960s may answer the origin of blast fungus in the US. To this end, we have expanded our analysis to include additional resequencing data of world materials - after analysis the evidence acquired supports that the patterns of AVR genes are considerably different in US populations from worldwide populations (As seen in Figure 2A/B; AVR-Piks, AVR-Pi9, AVR-Pita1). We have adjusted the text to reflect the data available, however as we indicate in the discussion - additional whole genome data would be required to adequately answer if the US population is truly isolated genetically. We have also added a point to the end in the Summary. See </w:t>
      </w:r>
      <w:r w:rsidDel="00000000" w:rsidR="00000000" w:rsidRPr="00000000">
        <w:rPr>
          <w:rFonts w:ascii="Times New Roman" w:cs="Times New Roman" w:eastAsia="Times New Roman" w:hAnsi="Times New Roman"/>
          <w:i w:val="1"/>
          <w:color w:val="0000ff"/>
          <w:sz w:val="24"/>
          <w:szCs w:val="24"/>
          <w:highlight w:val="yellow"/>
          <w:rtl w:val="0"/>
        </w:rPr>
        <w:t xml:space="preserve">L239-253 and L369-377</w:t>
      </w:r>
      <w:r w:rsidDel="00000000" w:rsidR="00000000" w:rsidRPr="00000000">
        <w:rPr>
          <w:rFonts w:ascii="Times New Roman" w:cs="Times New Roman" w:eastAsia="Times New Roman" w:hAnsi="Times New Roman"/>
          <w:i w:val="1"/>
          <w:color w:val="0000ff"/>
          <w:sz w:val="24"/>
          <w:szCs w:val="24"/>
          <w:highlight w:val="white"/>
          <w:rtl w:val="0"/>
        </w:rPr>
        <w:t xml:space="preserve">. </w:t>
      </w:r>
    </w:p>
    <w:p w:rsidR="00000000" w:rsidDel="00000000" w:rsidP="00000000" w:rsidRDefault="00000000" w:rsidRPr="00000000" w14:paraId="00000007">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222222"/>
          <w:sz w:val="24"/>
          <w:szCs w:val="24"/>
          <w:highlight w:val="green"/>
        </w:rPr>
      </w:pPr>
      <w:r w:rsidDel="00000000" w:rsidR="00000000" w:rsidRPr="00000000">
        <w:rPr>
          <w:rFonts w:ascii="Times New Roman" w:cs="Times New Roman" w:eastAsia="Times New Roman" w:hAnsi="Times New Roman"/>
          <w:color w:val="222222"/>
          <w:sz w:val="24"/>
          <w:szCs w:val="24"/>
          <w:highlight w:val="white"/>
          <w:rtl w:val="0"/>
        </w:rPr>
        <w:t xml:space="preserve">2/To address the major point 1, it may be helpful to align the AVR sequences identified in the US with those identified in other regions. By comparing synonymous mutations or mutations on introns, it would be possible to determine if the variants in the US independently emerged or if there has been any genetic exchange between the US and other regions.</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1"/>
          <w:color w:val="0000ff"/>
          <w:sz w:val="24"/>
          <w:szCs w:val="24"/>
        </w:rPr>
      </w:pPr>
      <w:bookmarkStart w:colFirst="0" w:colLast="0" w:name="_heading=h.30j0zll" w:id="1"/>
      <w:bookmarkEnd w:id="1"/>
      <w:r w:rsidDel="00000000" w:rsidR="00000000" w:rsidRPr="00000000">
        <w:rPr>
          <w:rFonts w:ascii="Times New Roman" w:cs="Times New Roman" w:eastAsia="Times New Roman" w:hAnsi="Times New Roman"/>
          <w:i w:val="1"/>
          <w:color w:val="0000ff"/>
          <w:sz w:val="24"/>
          <w:szCs w:val="24"/>
          <w:rtl w:val="0"/>
        </w:rPr>
        <w:t xml:space="preserve">Our response: </w:t>
      </w:r>
    </w:p>
    <w:p w:rsidR="00000000" w:rsidDel="00000000" w:rsidP="00000000" w:rsidRDefault="00000000" w:rsidRPr="00000000" w14:paraId="0000000A">
      <w:pPr>
        <w:rPr>
          <w:rFonts w:ascii="Times New Roman" w:cs="Times New Roman" w:eastAsia="Times New Roman" w:hAnsi="Times New Roman"/>
          <w:color w:val="222222"/>
          <w:sz w:val="24"/>
          <w:szCs w:val="24"/>
          <w:highlight w:val="white"/>
        </w:rPr>
      </w:pPr>
      <w:bookmarkStart w:colFirst="0" w:colLast="0" w:name="_heading=h.kqeat422zbw" w:id="2"/>
      <w:bookmarkEnd w:id="2"/>
      <w:r w:rsidDel="00000000" w:rsidR="00000000" w:rsidRPr="00000000">
        <w:rPr>
          <w:rFonts w:ascii="Times New Roman" w:cs="Times New Roman" w:eastAsia="Times New Roman" w:hAnsi="Times New Roman"/>
          <w:i w:val="1"/>
          <w:color w:val="0000ff"/>
          <w:sz w:val="24"/>
          <w:szCs w:val="24"/>
          <w:rtl w:val="0"/>
        </w:rPr>
        <w:t xml:space="preserve">Additionally we utilized the resequencing data to look at the evolutionary rates within exon, intron, and intergenic regions and have added Figure 5. However, this information is not adequate to determine if the variant in the US independently emerged or if there has been any genetic exchange between the US and other regions. See </w:t>
      </w:r>
      <w:r w:rsidDel="00000000" w:rsidR="00000000" w:rsidRPr="00000000">
        <w:rPr>
          <w:rFonts w:ascii="Times New Roman" w:cs="Times New Roman" w:eastAsia="Times New Roman" w:hAnsi="Times New Roman"/>
          <w:i w:val="1"/>
          <w:color w:val="0000ff"/>
          <w:sz w:val="24"/>
          <w:szCs w:val="24"/>
          <w:highlight w:val="yellow"/>
          <w:rtl w:val="0"/>
        </w:rPr>
        <w:t xml:space="preserve">L497-L500</w:t>
      </w:r>
      <w:r w:rsidDel="00000000" w:rsidR="00000000" w:rsidRPr="00000000">
        <w:rPr>
          <w:rFonts w:ascii="Times New Roman" w:cs="Times New Roman" w:eastAsia="Times New Roman" w:hAnsi="Times New Roman"/>
          <w:i w:val="1"/>
          <w:color w:val="0000ff"/>
          <w:sz w:val="24"/>
          <w:szCs w:val="24"/>
          <w:rtl w:val="0"/>
        </w:rPr>
        <w:t xml:space="preserve">.</w:t>
      </w:r>
      <w:r w:rsidDel="00000000" w:rsidR="00000000" w:rsidRPr="00000000">
        <w:rPr>
          <w:rFonts w:ascii="Times New Roman" w:cs="Times New Roman" w:eastAsia="Times New Roman" w:hAnsi="Times New Roman"/>
          <w:color w:val="0000ff"/>
          <w:sz w:val="24"/>
          <w:szCs w:val="24"/>
          <w:rtl w:val="0"/>
        </w:rPr>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3/ The absence or low frequencies of AVR-Pia and AVR-Pii are discussed and highlighted in the manuscript. However, there is no information about the isolates tested in line 157-159. The presence/absence of AVR-Pia and AVR-Pii regarding the isolates tested should be added to Dataset1.</w:t>
      </w:r>
    </w:p>
    <w:p w:rsidR="00000000" w:rsidDel="00000000" w:rsidP="00000000" w:rsidRDefault="00000000" w:rsidRPr="00000000" w14:paraId="0000000B">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We examined the existence of both AVR genes and only found a few and the new data were added in the dataset S1 as recommended.  See </w:t>
      </w:r>
      <w:r w:rsidDel="00000000" w:rsidR="00000000" w:rsidRPr="00000000">
        <w:rPr>
          <w:rFonts w:ascii="Times New Roman" w:cs="Times New Roman" w:eastAsia="Times New Roman" w:hAnsi="Times New Roman"/>
          <w:i w:val="1"/>
          <w:color w:val="0000ff"/>
          <w:sz w:val="24"/>
          <w:szCs w:val="24"/>
          <w:highlight w:val="yellow"/>
          <w:rtl w:val="0"/>
        </w:rPr>
        <w:t xml:space="preserve">L155-171</w:t>
      </w:r>
      <w:r w:rsidDel="00000000" w:rsidR="00000000" w:rsidRPr="00000000">
        <w:rPr>
          <w:rFonts w:ascii="Times New Roman" w:cs="Times New Roman" w:eastAsia="Times New Roman" w:hAnsi="Times New Roman"/>
          <w:i w:val="1"/>
          <w:color w:val="0000ff"/>
          <w:sz w:val="24"/>
          <w:szCs w:val="24"/>
          <w:highlight w:val="white"/>
          <w:rtl w:val="0"/>
        </w:rPr>
        <w:t xml:space="preserve">. The frequencies of these loci are also quite low in the worldwide samples, however the pattern for AVR-Pii is different in that it was intially much higher back in the 1960s (Figure 2B). </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4/ Previous studies have identified three major clonal groups in Magnaporthe species (Thierry et al., 2022,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https://doi.org/</w:t>
        </w:r>
      </w:hyperlink>
      <w:r w:rsidDel="00000000" w:rsidR="00000000" w:rsidRPr="00000000">
        <w:rPr>
          <w:rFonts w:ascii="Times New Roman" w:cs="Times New Roman" w:eastAsia="Times New Roman" w:hAnsi="Times New Roman"/>
          <w:color w:val="222222"/>
          <w:sz w:val="24"/>
          <w:szCs w:val="24"/>
          <w:highlight w:val="white"/>
          <w:rtl w:val="0"/>
        </w:rPr>
        <w:t xml:space="preserve"> 10.1371/journal.ppat.1010687; Latorre et al., 2020,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https://doi.org/10.1186/s12915-020-00818-z</w:t>
        </w:r>
      </w:hyperlink>
      <w:r w:rsidDel="00000000" w:rsidR="00000000" w:rsidRPr="00000000">
        <w:rPr>
          <w:rFonts w:ascii="Times New Roman" w:cs="Times New Roman" w:eastAsia="Times New Roman" w:hAnsi="Times New Roman"/>
          <w:color w:val="222222"/>
          <w:sz w:val="24"/>
          <w:szCs w:val="24"/>
          <w:highlight w:val="white"/>
          <w:rtl w:val="0"/>
        </w:rPr>
        <w:t xml:space="preserve">). To better understand the relationship between the current study's findings and prior research, can you determine the relationship between the three major clusters identified in Fig. 2C and Fig. 2D and those in the previously studies?</w:t>
      </w:r>
    </w:p>
    <w:p w:rsidR="00000000" w:rsidDel="00000000" w:rsidP="00000000" w:rsidRDefault="00000000" w:rsidRPr="00000000" w14:paraId="0000000C">
      <w:pPr>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i w:val="1"/>
          <w:color w:val="0000ff"/>
          <w:sz w:val="24"/>
          <w:szCs w:val="24"/>
          <w:rtl w:val="0"/>
        </w:rPr>
        <w:t xml:space="preserve">Our response: see</w:t>
      </w:r>
      <w:r w:rsidDel="00000000" w:rsidR="00000000" w:rsidRPr="00000000">
        <w:rPr>
          <w:rFonts w:ascii="Times New Roman" w:cs="Times New Roman" w:eastAsia="Times New Roman" w:hAnsi="Times New Roman"/>
          <w:i w:val="1"/>
          <w:color w:val="0000ff"/>
          <w:sz w:val="24"/>
          <w:szCs w:val="24"/>
          <w:highlight w:val="yellow"/>
          <w:rtl w:val="0"/>
        </w:rPr>
        <w:t xml:space="preserve"> L276-281</w:t>
      </w:r>
      <w:r w:rsidDel="00000000" w:rsidR="00000000" w:rsidRPr="00000000">
        <w:rPr>
          <w:rFonts w:ascii="Times New Roman" w:cs="Times New Roman" w:eastAsia="Times New Roman" w:hAnsi="Times New Roman"/>
          <w:i w:val="1"/>
          <w:color w:val="0000ff"/>
          <w:sz w:val="24"/>
          <w:szCs w:val="24"/>
          <w:rtl w:val="0"/>
        </w:rPr>
        <w:t xml:space="preserve">.</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5/ The manuscript suggests the lack of correlation between P/A markers of AVRs and SSR markers (line 179–186). However, it is worth considering the possibility that the limited number of markers used (ten and six markers for SSR and P/A markers, respectively) may have contributed to the lack of correlation. Using a larger number of markers from whole-genome sequences, such as 10,000 SNPs and 300 AVR candidates, may reveal a correlation between SSR and P/A markers that is currently not apparent. A correlation between phylogenetic relationship and AVR repertoire seems to be shown by previous studies that have utilized whole-genome sequence data from diverse Magnaporthe isolates (Fig. 5C in Thierry et al., 2022,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https://doi.org/</w:t>
        </w:r>
      </w:hyperlink>
      <w:r w:rsidDel="00000000" w:rsidR="00000000" w:rsidRPr="00000000">
        <w:rPr>
          <w:rFonts w:ascii="Times New Roman" w:cs="Times New Roman" w:eastAsia="Times New Roman" w:hAnsi="Times New Roman"/>
          <w:color w:val="222222"/>
          <w:sz w:val="24"/>
          <w:szCs w:val="24"/>
          <w:highlight w:val="white"/>
          <w:rtl w:val="0"/>
        </w:rPr>
        <w:t xml:space="preserve"> 10.1371/journal.ppat.1010687; Fig. 6C in Latorre et al., 2020,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https://doi.org/10.1186/s12915-020-00818-z</w:t>
        </w:r>
      </w:hyperlink>
      <w:r w:rsidDel="00000000" w:rsidR="00000000" w:rsidRPr="00000000">
        <w:rPr>
          <w:rFonts w:ascii="Times New Roman" w:cs="Times New Roman" w:eastAsia="Times New Roman" w:hAnsi="Times New Roman"/>
          <w:color w:val="222222"/>
          <w:sz w:val="24"/>
          <w:szCs w:val="24"/>
          <w:highlight w:val="white"/>
          <w:rtl w:val="0"/>
        </w:rPr>
        <w:t xml:space="preserve">). This is presumably because all the genes are genetically linked in a clonal genome and a selection pressure against an AVR gene can affect the entire genome as linked selection.</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Revised based on recommendation.  See </w:t>
      </w:r>
      <w:r w:rsidDel="00000000" w:rsidR="00000000" w:rsidRPr="00000000">
        <w:rPr>
          <w:rFonts w:ascii="Times New Roman" w:cs="Times New Roman" w:eastAsia="Times New Roman" w:hAnsi="Times New Roman"/>
          <w:i w:val="1"/>
          <w:color w:val="0000ff"/>
          <w:sz w:val="24"/>
          <w:szCs w:val="24"/>
          <w:highlight w:val="yellow"/>
          <w:rtl w:val="0"/>
        </w:rPr>
        <w:t xml:space="preserve">L484-L488</w:t>
      </w:r>
      <w:r w:rsidDel="00000000" w:rsidR="00000000" w:rsidRPr="00000000">
        <w:rPr>
          <w:rFonts w:ascii="Times New Roman" w:cs="Times New Roman" w:eastAsia="Times New Roman" w:hAnsi="Times New Roman"/>
          <w:i w:val="1"/>
          <w:color w:val="0000ff"/>
          <w:sz w:val="24"/>
          <w:szCs w:val="24"/>
          <w:highlight w:val="white"/>
          <w:rtl w:val="0"/>
        </w:rPr>
        <w:t xml:space="preserve">.</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6/ The alleles of AVR-Pita (AVR-Pita1, AVR-Pita2 and AVR-Pita3) have been previously reported (Kang et al., 2008,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https://doi.org/10.1094/MPMI-21-5-0658</w:t>
        </w:r>
      </w:hyperlink>
      <w:r w:rsidDel="00000000" w:rsidR="00000000" w:rsidRPr="00000000">
        <w:rPr>
          <w:rFonts w:ascii="Times New Roman" w:cs="Times New Roman" w:eastAsia="Times New Roman" w:hAnsi="Times New Roman"/>
          <w:color w:val="222222"/>
          <w:sz w:val="24"/>
          <w:szCs w:val="24"/>
          <w:highlight w:val="white"/>
          <w:rtl w:val="0"/>
        </w:rPr>
        <w:t xml:space="preserve">). It is important to clarify if the variants of AVR-Pita1 identified in this study (Fig. 3B and 3C) match those previously reported as AVR-Pita2 or AVR-Pita3, or if they represent novel alleles of AVR-Pita1 that have not been reported previously.</w:t>
      </w:r>
    </w:p>
    <w:p w:rsidR="00000000" w:rsidDel="00000000" w:rsidP="00000000" w:rsidRDefault="00000000" w:rsidRPr="00000000" w14:paraId="0000000F">
      <w:pPr>
        <w:rPr>
          <w:rFonts w:ascii="Times New Roman" w:cs="Times New Roman" w:eastAsia="Times New Roman" w:hAnsi="Times New Roman"/>
          <w:i w:val="1"/>
          <w:color w:val="0000ff"/>
          <w:sz w:val="24"/>
          <w:szCs w:val="24"/>
          <w:highlight w:val="yellow"/>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See</w:t>
      </w:r>
      <w:r w:rsidDel="00000000" w:rsidR="00000000" w:rsidRPr="00000000">
        <w:rPr>
          <w:rFonts w:ascii="Times New Roman" w:cs="Times New Roman" w:eastAsia="Times New Roman" w:hAnsi="Times New Roman"/>
          <w:i w:val="1"/>
          <w:color w:val="0000ff"/>
          <w:sz w:val="24"/>
          <w:szCs w:val="24"/>
          <w:highlight w:val="yellow"/>
          <w:rtl w:val="0"/>
        </w:rPr>
        <w:t xml:space="preserve"> L70-73.</w:t>
      </w:r>
    </w:p>
    <w:p w:rsidR="00000000" w:rsidDel="00000000" w:rsidP="00000000" w:rsidRDefault="00000000" w:rsidRPr="00000000" w14:paraId="00000010">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7/ I cannot understand lines 243–245 and 276–280. To my understanding, Pi and Tajima’s D are highly influenced by demographic factors such as bottleneck effects. Therefore, when assessing the Pi or Tajima’s D of AVR genes, it is important to compare them with the remaining parts of the genome. For example, if the target population has a Tajima's D of -2.0 due to an island effect, it is possible that the gene of interest also has a Tajima's D of -2.0. In this case, the significant Tajima's D is not necessarily a result of selection pressure on the gene, but rather a result of the demographic history of the target population. To clarify these findings, please compare the Pi and Tajima's D of AVRs with those of SSR markers, assuming that SSR markers are representative of diversity across the genome.</w:t>
      </w:r>
    </w:p>
    <w:p w:rsidR="00000000" w:rsidDel="00000000" w:rsidP="00000000" w:rsidRDefault="00000000" w:rsidRPr="00000000" w14:paraId="00000011">
      <w:pPr>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We have leveraged available resequencing data to address this. We’ve plotted both Pi and Tajima’s D across the whole genome (Figure 4A/B). See</w:t>
      </w:r>
      <w:r w:rsidDel="00000000" w:rsidR="00000000" w:rsidRPr="00000000">
        <w:rPr>
          <w:rFonts w:ascii="Times New Roman" w:cs="Times New Roman" w:eastAsia="Times New Roman" w:hAnsi="Times New Roman"/>
          <w:i w:val="1"/>
          <w:color w:val="0000ff"/>
          <w:sz w:val="24"/>
          <w:szCs w:val="24"/>
          <w:highlight w:val="yellow"/>
          <w:rtl w:val="0"/>
        </w:rPr>
        <w:t xml:space="preserve"> L243-260</w:t>
      </w:r>
      <w:r w:rsidDel="00000000" w:rsidR="00000000" w:rsidRPr="00000000">
        <w:rPr>
          <w:rFonts w:ascii="Times New Roman" w:cs="Times New Roman" w:eastAsia="Times New Roman" w:hAnsi="Times New Roman"/>
          <w:i w:val="1"/>
          <w:color w:val="0000ff"/>
          <w:sz w:val="24"/>
          <w:szCs w:val="24"/>
          <w:highlight w:val="white"/>
          <w:rtl w:val="0"/>
        </w:rPr>
        <w:t xml:space="preserve">.</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8/ Previous studies have reported the alleles of AVR-Pik (AVR-PikD/E/A/B/E/F etc.) (Li et al., 2019,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https://doi.org/10.1186/s12870-019-1817-8</w:t>
        </w:r>
      </w:hyperlink>
      <w:r w:rsidDel="00000000" w:rsidR="00000000" w:rsidRPr="00000000">
        <w:rPr>
          <w:rFonts w:ascii="Times New Roman" w:cs="Times New Roman" w:eastAsia="Times New Roman" w:hAnsi="Times New Roman"/>
          <w:color w:val="222222"/>
          <w:sz w:val="24"/>
          <w:szCs w:val="24"/>
          <w:highlight w:val="white"/>
          <w:rtl w:val="0"/>
        </w:rPr>
        <w:t xml:space="preserve">; Longya et al., 2019,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https://doi.org/10.1094/MPMI-09-18-0245-R</w:t>
        </w:r>
      </w:hyperlink>
      <w:r w:rsidDel="00000000" w:rsidR="00000000" w:rsidRPr="00000000">
        <w:rPr>
          <w:rFonts w:ascii="Times New Roman" w:cs="Times New Roman" w:eastAsia="Times New Roman" w:hAnsi="Times New Roman"/>
          <w:color w:val="222222"/>
          <w:sz w:val="24"/>
          <w:szCs w:val="24"/>
          <w:highlight w:val="white"/>
          <w:rtl w:val="0"/>
        </w:rPr>
        <w:t xml:space="preserve">). The correspondence of “V3 and AVR-PikD”, “H02 and V4” and “H09 and V5” have been explained in this manuscript. However, it is important to clarify the correspondence of the other haplotypes, such as V4 and AVR-PikA. Providing clear correspondence would make it easier for readers to understand the findings and would increase the attention given to the manuscript.</w:t>
      </w:r>
    </w:p>
    <w:p w:rsidR="00000000" w:rsidDel="00000000" w:rsidP="00000000" w:rsidRDefault="00000000" w:rsidRPr="00000000" w14:paraId="00000013">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see </w:t>
      </w:r>
      <w:r w:rsidDel="00000000" w:rsidR="00000000" w:rsidRPr="00000000">
        <w:rPr>
          <w:rFonts w:ascii="Times New Roman" w:cs="Times New Roman" w:eastAsia="Times New Roman" w:hAnsi="Times New Roman"/>
          <w:i w:val="1"/>
          <w:color w:val="0000ff"/>
          <w:sz w:val="24"/>
          <w:szCs w:val="24"/>
          <w:highlight w:val="yellow"/>
          <w:rtl w:val="0"/>
        </w:rPr>
        <w:t xml:space="preserve">L276-281</w:t>
      </w:r>
      <w:r w:rsidDel="00000000" w:rsidR="00000000" w:rsidRPr="00000000">
        <w:rPr>
          <w:rFonts w:ascii="Times New Roman" w:cs="Times New Roman" w:eastAsia="Times New Roman" w:hAnsi="Times New Roman"/>
          <w:i w:val="1"/>
          <w:color w:val="0000ff"/>
          <w:sz w:val="24"/>
          <w:szCs w:val="24"/>
          <w:highlight w:val="white"/>
          <w:rtl w:val="0"/>
        </w:rPr>
        <w:t xml:space="preserve">.</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9/ Regarding the lines 376–380, if V4 (H02) is equivalent to AVR-PikA, it is reasonable that V4 is detected by both Pi-km and Pi-kh, as previous studies have reported that AVR-PikA is detected by both Pi-km and Pi-kh (De la Concepcion et al., 2021,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https://doi.org/10.1371/journal</w:t>
        </w:r>
      </w:hyperlink>
      <w:r w:rsidDel="00000000" w:rsidR="00000000" w:rsidRPr="00000000">
        <w:rPr>
          <w:rFonts w:ascii="Times New Roman" w:cs="Times New Roman" w:eastAsia="Times New Roman" w:hAnsi="Times New Roman"/>
          <w:color w:val="222222"/>
          <w:sz w:val="24"/>
          <w:szCs w:val="24"/>
          <w:highlight w:val="white"/>
          <w:rtl w:val="0"/>
        </w:rPr>
        <w:t xml:space="preserve">. ppat.1009368; De la Concepcion et al., 2018,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https://doi.org/10.1038/s41477-018-0194-x</w:t>
        </w:r>
      </w:hyperlink>
      <w:r w:rsidDel="00000000" w:rsidR="00000000" w:rsidRPr="00000000">
        <w:rPr>
          <w:rFonts w:ascii="Times New Roman" w:cs="Times New Roman" w:eastAsia="Times New Roman" w:hAnsi="Times New Roman"/>
          <w:color w:val="222222"/>
          <w:sz w:val="24"/>
          <w:szCs w:val="24"/>
          <w:highlight w:val="white"/>
          <w:rtl w:val="0"/>
        </w:rPr>
        <w:t xml:space="preserve">). Please clarify the correspondence between your ID and the previous nomenclatures and discuss your data under the context of recent literatures. To improve the understanding of the data presented in the manuscript, please clarify the correspondence between the study's ID and the previous nomenclatures, and to discuss the findings in the context of previous literature.</w:t>
      </w:r>
    </w:p>
    <w:p w:rsidR="00000000" w:rsidDel="00000000" w:rsidP="00000000" w:rsidRDefault="00000000" w:rsidRPr="00000000" w14:paraId="00000014">
      <w:pP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We have corresponding ID in supporting table S5.</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10/ Regarding the lines 400-401, it is important to consider the possibility that the lack of AVR-Pia and AVR-Pii in the US isolates may be due to the first isolate in the US not carrying these AVRs and subsequently spreading through asexual reproduction. Another possibility is that the isolates carrying AVR-Pia and AVR-Pii went extinct due to intensive deployment of Pia and Pii resistance genes. Can you provide evidence or data that supports or denies these possibilities in the discussion of your findings? Again, it is important to clarify whether there is a frequent genetic exchange between the US and other regions.</w:t>
      </w:r>
      <w:r w:rsidDel="00000000" w:rsidR="00000000" w:rsidRPr="00000000">
        <w:rPr>
          <w:rFonts w:ascii="Times New Roman" w:cs="Times New Roman" w:eastAsia="Times New Roman" w:hAnsi="Times New Roman"/>
          <w:color w:val="222222"/>
          <w:sz w:val="24"/>
          <w:szCs w:val="24"/>
          <w:rtl w:val="0"/>
        </w:rPr>
        <w:br w:type="textWrapping"/>
      </w:r>
    </w:p>
    <w:p w:rsidR="00000000" w:rsidDel="00000000" w:rsidP="00000000" w:rsidRDefault="00000000" w:rsidRPr="00000000" w14:paraId="00000015">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i w:val="1"/>
          <w:color w:val="0000ff"/>
          <w:sz w:val="24"/>
          <w:szCs w:val="24"/>
          <w:rtl w:val="0"/>
        </w:rPr>
        <w:t xml:space="preserve">Our response:  We examined 840 isolates and only discovered a few has AVR-Pii and AVR-pia See dataset 1 and</w:t>
      </w:r>
      <w:r w:rsidDel="00000000" w:rsidR="00000000" w:rsidRPr="00000000">
        <w:rPr>
          <w:rFonts w:ascii="Times New Roman" w:cs="Times New Roman" w:eastAsia="Times New Roman" w:hAnsi="Times New Roman"/>
          <w:i w:val="1"/>
          <w:color w:val="0000ff"/>
          <w:sz w:val="24"/>
          <w:szCs w:val="24"/>
          <w:highlight w:val="yellow"/>
          <w:rtl w:val="0"/>
        </w:rPr>
        <w:t xml:space="preserve"> L128-137</w:t>
      </w:r>
      <w:r w:rsidDel="00000000" w:rsidR="00000000" w:rsidRPr="00000000">
        <w:rPr>
          <w:rFonts w:ascii="Times New Roman" w:cs="Times New Roman" w:eastAsia="Times New Roman" w:hAnsi="Times New Roman"/>
          <w:i w:val="1"/>
          <w:color w:val="0000ff"/>
          <w:sz w:val="24"/>
          <w:szCs w:val="24"/>
          <w:rtl w:val="0"/>
        </w:rPr>
        <w:t xml:space="preserve">, and </w:t>
      </w:r>
      <w:r w:rsidDel="00000000" w:rsidR="00000000" w:rsidRPr="00000000">
        <w:rPr>
          <w:rFonts w:ascii="Times New Roman" w:cs="Times New Roman" w:eastAsia="Times New Roman" w:hAnsi="Times New Roman"/>
          <w:i w:val="1"/>
          <w:color w:val="0000ff"/>
          <w:sz w:val="24"/>
          <w:szCs w:val="24"/>
          <w:highlight w:val="yellow"/>
          <w:rtl w:val="0"/>
        </w:rPr>
        <w:t xml:space="preserve">L160-171</w:t>
      </w:r>
      <w:r w:rsidDel="00000000" w:rsidR="00000000" w:rsidRPr="00000000">
        <w:rPr>
          <w:rFonts w:ascii="Times New Roman" w:cs="Times New Roman" w:eastAsia="Times New Roman" w:hAnsi="Times New Roman"/>
          <w:i w:val="1"/>
          <w:color w:val="0000ff"/>
          <w:sz w:val="24"/>
          <w:szCs w:val="24"/>
          <w:rtl w:val="0"/>
        </w:rPr>
        <w:t xml:space="preserve"> (Dataset S1). Also see our response to your question 3 - AVR-Pia and AVR-Pii are generally quite low frequency also in the worldwide population; so this pattern is not unexpected.</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Minor points</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1/ Including a heatmap of the presence/absence of AVRs under Fig. 2C would be helpful.</w:t>
      </w:r>
    </w:p>
    <w:p w:rsidR="00000000" w:rsidDel="00000000" w:rsidP="00000000" w:rsidRDefault="00000000" w:rsidRPr="00000000" w14:paraId="00000016">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Added</w:t>
      </w:r>
      <w:r w:rsidDel="00000000" w:rsidR="00000000" w:rsidRPr="00000000">
        <w:rPr>
          <w:rFonts w:ascii="Times New Roman" w:cs="Times New Roman" w:eastAsia="Times New Roman" w:hAnsi="Times New Roman"/>
          <w:i w:val="1"/>
          <w:color w:val="0000ff"/>
          <w:sz w:val="24"/>
          <w:szCs w:val="24"/>
          <w:highlight w:val="yellow"/>
          <w:rtl w:val="0"/>
        </w:rPr>
        <w:t xml:space="preserve"> L188-189</w:t>
      </w:r>
      <w:r w:rsidDel="00000000" w:rsidR="00000000" w:rsidRPr="00000000">
        <w:rPr>
          <w:rFonts w:ascii="Times New Roman" w:cs="Times New Roman" w:eastAsia="Times New Roman" w:hAnsi="Times New Roman"/>
          <w:i w:val="1"/>
          <w:color w:val="0000ff"/>
          <w:sz w:val="24"/>
          <w:szCs w:val="24"/>
          <w:highlight w:val="white"/>
          <w:rtl w:val="0"/>
        </w:rPr>
        <w:t xml:space="preserve">. And figure legend for Fig 2 was also modified.</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2/ It is better to describe your previous work and hypothesis (as described in 93-97) in “summary” to explain why you did this analysis and why your results are important.</w:t>
      </w:r>
    </w:p>
    <w:p w:rsidR="00000000" w:rsidDel="00000000" w:rsidP="00000000" w:rsidRDefault="00000000" w:rsidRPr="00000000" w14:paraId="00000018">
      <w:pPr>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Due to word limit for abstract we think it is better to show the result and work hypothesis was introduced in the introduction.  We introduced previous related studies, and those studies didn’t provide information on potential R genes’ durability relative to the high potential for variability in M. oryzae AVR genes across many locations and times. </w:t>
      </w:r>
      <w:r w:rsidDel="00000000" w:rsidR="00000000" w:rsidRPr="00000000">
        <w:rPr>
          <w:rFonts w:ascii="Times New Roman" w:cs="Times New Roman" w:eastAsia="Times New Roman" w:hAnsi="Times New Roman"/>
          <w:i w:val="1"/>
          <w:color w:val="0000ff"/>
          <w:sz w:val="24"/>
          <w:szCs w:val="24"/>
          <w:highlight w:val="yellow"/>
          <w:rtl w:val="0"/>
        </w:rPr>
        <w:t xml:space="preserve">L90-94</w:t>
      </w:r>
      <w:r w:rsidDel="00000000" w:rsidR="00000000" w:rsidRPr="00000000">
        <w:rPr>
          <w:rFonts w:ascii="Times New Roman" w:cs="Times New Roman" w:eastAsia="Times New Roman" w:hAnsi="Times New Roman"/>
          <w:i w:val="1"/>
          <w:color w:val="0000ff"/>
          <w:sz w:val="24"/>
          <w:szCs w:val="24"/>
          <w:highlight w:val="white"/>
          <w:rtl w:val="0"/>
        </w:rPr>
        <w:t xml:space="preserve">.</w:t>
      </w:r>
    </w:p>
    <w:p w:rsidR="00000000" w:rsidDel="00000000" w:rsidP="00000000" w:rsidRDefault="00000000" w:rsidRPr="00000000" w14:paraId="00000019">
      <w:pPr>
        <w:rPr>
          <w:rFonts w:ascii="Times New Roman" w:cs="Times New Roman" w:eastAsia="Times New Roman" w:hAnsi="Times New Roman"/>
          <w:color w:val="222222"/>
          <w:sz w:val="24"/>
          <w:szCs w:val="24"/>
          <w:highlight w:val="yellow"/>
        </w:rPr>
      </w:pP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3/ The manuscript cites Lopez et al., 2019 and Selisana et al., 2017 to show the frequencies of AVRs in the Philippines (line 85-88). However, these studies report very different frequencies for each AVR. Can you explain the reason for this discrepancy, whether it be methodological difficulties in estimating AVRs in field isolates or other factors? Alternatively, citing one reliable paper or reporting the frequencies as "61.16% and 0%" or deleting this sentence would be better.</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rtl w:val="0"/>
        </w:rPr>
        <w:t xml:space="preserve">Our response: These two studies used isolates from different rice growing areas in the Philippines, and the population was shaped by local environment. See </w:t>
      </w:r>
      <w:r w:rsidDel="00000000" w:rsidR="00000000" w:rsidRPr="00000000">
        <w:rPr>
          <w:rFonts w:ascii="Times New Roman" w:cs="Times New Roman" w:eastAsia="Times New Roman" w:hAnsi="Times New Roman"/>
          <w:i w:val="1"/>
          <w:color w:val="0000ff"/>
          <w:sz w:val="24"/>
          <w:szCs w:val="24"/>
          <w:highlight w:val="yellow"/>
          <w:rtl w:val="0"/>
        </w:rPr>
        <w:t xml:space="preserve">L84-94 and L505-507</w:t>
      </w:r>
      <w:r w:rsidDel="00000000" w:rsidR="00000000" w:rsidRPr="00000000">
        <w:rPr>
          <w:rFonts w:ascii="Times New Roman" w:cs="Times New Roman" w:eastAsia="Times New Roman" w:hAnsi="Times New Roman"/>
          <w:i w:val="1"/>
          <w:color w:val="0000ff"/>
          <w:sz w:val="24"/>
          <w:szCs w:val="24"/>
          <w:rtl w:val="0"/>
        </w:rPr>
        <w:t xml:space="preserve">.</w:t>
      </w:r>
    </w:p>
    <w:p w:rsidR="00000000" w:rsidDel="00000000" w:rsidP="00000000" w:rsidRDefault="00000000" w:rsidRPr="00000000" w14:paraId="0000001B">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4/ In lines 294–295, the manuscript refers to Pik* as Pi-km + Pi-ks. However, Pik* is already present as an allele of Pik (Kanzaki et al., 2012, </w:t>
      </w: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https://doi.org/10.1111/j.1365-313X.2012.05110.x</w:t>
        </w:r>
      </w:hyperlink>
      <w:r w:rsidDel="00000000" w:rsidR="00000000" w:rsidRPr="00000000">
        <w:rPr>
          <w:rFonts w:ascii="Times New Roman" w:cs="Times New Roman" w:eastAsia="Times New Roman" w:hAnsi="Times New Roman"/>
          <w:color w:val="222222"/>
          <w:sz w:val="24"/>
          <w:szCs w:val="24"/>
          <w:highlight w:val="white"/>
          <w:rtl w:val="0"/>
        </w:rPr>
        <w:t xml:space="preserve">; De la Concepcion et al., 2021, </w:t>
      </w: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https://doi.org/10.1371/journal</w:t>
        </w:r>
      </w:hyperlink>
      <w:r w:rsidDel="00000000" w:rsidR="00000000" w:rsidRPr="00000000">
        <w:rPr>
          <w:rFonts w:ascii="Times New Roman" w:cs="Times New Roman" w:eastAsia="Times New Roman" w:hAnsi="Times New Roman"/>
          <w:color w:val="222222"/>
          <w:sz w:val="24"/>
          <w:szCs w:val="24"/>
          <w:highlight w:val="white"/>
          <w:rtl w:val="0"/>
        </w:rPr>
        <w:t xml:space="preserve">. ppat.1009368). It is more accurate to refer to it as "Pi-km + Pi-ks" or "Pi-m/s" instead.</w:t>
      </w:r>
    </w:p>
    <w:p w:rsidR="00000000" w:rsidDel="00000000" w:rsidP="00000000" w:rsidRDefault="00000000" w:rsidRPr="00000000" w14:paraId="0000001C">
      <w:pPr>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We used Pik# instead to avoid confusion.</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5/ In lines 387–388, the manuscript noted that virulence aspects of AVR genes have not been identified. However, a recent paper shows the virulence aspect of AvrPiz-t (Gao et al., 2021, </w:t>
      </w: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https://doi.org/10.1016/j.cell.2021.09.009</w:t>
        </w:r>
      </w:hyperlink>
      <w:r w:rsidDel="00000000" w:rsidR="00000000" w:rsidRPr="00000000">
        <w:rPr>
          <w:rFonts w:ascii="Times New Roman" w:cs="Times New Roman" w:eastAsia="Times New Roman" w:hAnsi="Times New Roman"/>
          <w:color w:val="222222"/>
          <w:sz w:val="24"/>
          <w:szCs w:val="24"/>
          <w:highlight w:val="white"/>
          <w:rtl w:val="0"/>
        </w:rPr>
        <w:t xml:space="preserve">) in laboratory. Also, the possible virulence aspect of AVR-PikD has been reported before (Oikawa et al., 2020, </w:t>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https://doi.org/10.1101/2020.12.01.406389</w:t>
        </w:r>
      </w:hyperlink>
      <w:r w:rsidDel="00000000" w:rsidR="00000000" w:rsidRPr="00000000">
        <w:rPr>
          <w:rFonts w:ascii="Times New Roman" w:cs="Times New Roman" w:eastAsia="Times New Roman" w:hAnsi="Times New Roman"/>
          <w:color w:val="222222"/>
          <w:sz w:val="24"/>
          <w:szCs w:val="24"/>
          <w:highlight w:val="white"/>
          <w:rtl w:val="0"/>
        </w:rPr>
        <w:t xml:space="preserve">).</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i w:val="1"/>
          <w:color w:val="0000ff"/>
          <w:sz w:val="24"/>
          <w:szCs w:val="24"/>
          <w:rtl w:val="0"/>
        </w:rPr>
        <w:t xml:space="preserve">Our response: Revised. </w:t>
      </w:r>
      <w:r w:rsidDel="00000000" w:rsidR="00000000" w:rsidRPr="00000000">
        <w:rPr>
          <w:rFonts w:ascii="Times New Roman" w:cs="Times New Roman" w:eastAsia="Times New Roman" w:hAnsi="Times New Roman"/>
          <w:i w:val="1"/>
          <w:color w:val="0000ff"/>
          <w:sz w:val="24"/>
          <w:szCs w:val="24"/>
          <w:highlight w:val="yellow"/>
          <w:rtl w:val="0"/>
        </w:rPr>
        <w:t xml:space="preserve">L408-412</w:t>
      </w:r>
      <w:r w:rsidDel="00000000" w:rsidR="00000000" w:rsidRPr="00000000">
        <w:rPr>
          <w:rFonts w:ascii="Times New Roman" w:cs="Times New Roman" w:eastAsia="Times New Roman" w:hAnsi="Times New Roman"/>
          <w:i w:val="1"/>
          <w:color w:val="0000ff"/>
          <w:sz w:val="24"/>
          <w:szCs w:val="24"/>
          <w:rtl w:val="0"/>
        </w:rPr>
        <w:t xml:space="preserve">. Oikawa et al has not been published.</w:t>
      </w:r>
    </w:p>
    <w:p w:rsidR="00000000" w:rsidDel="00000000" w:rsidP="00000000" w:rsidRDefault="00000000" w:rsidRPr="00000000" w14:paraId="0000001D">
      <w:pP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Referee: 2</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Comments to the Author</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This manuscript reports dynamics of AVR genes in U.S. field populations of the rice blast fungus during six decades. They found that frequencies of the AVR genes were correlated with those of their corresponding R genes in rice fields. Especially, frequencies of AVR-Pita1 and AVR-Pik were highly correlated with those of Pi-ta and Pi-km, respectively, evaluated before 5 years. A significant finding was that the rice blast populations rapidly regained AVR-Pita after Pi-ta was removed from the field. Based on this result, the authors suggested that AVR-Pita may provide a field fitness advantage.</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    This is an intensive work performed with 840 isolates collected from 1959 to 2017. Although the dynamics obtained --- the decrease of AVR gene frequencies after deployment of their corresponding R genes in the field, and the recovery of AVR genes after the removal of the corresponding R genes --- is not surprising, it provides valuable information contributing to future choices of R genes in the farmer’s field.</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Major comment:</w:t>
      </w:r>
      <w:r w:rsidDel="00000000" w:rsidR="00000000" w:rsidRPr="00000000">
        <w:rPr>
          <w:rFonts w:ascii="Times New Roman" w:cs="Times New Roman" w:eastAsia="Times New Roman" w:hAnsi="Times New Roman"/>
          <w:color w:val="222222"/>
          <w:sz w:val="24"/>
          <w:szCs w:val="24"/>
          <w:rtl w:val="0"/>
        </w:rPr>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P18L476: “For rice blast, we suggest that continuous tracking of AVR loss and recovery in regional populations provide the best insight on potential population level fitness for that particular AVR gene…”</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  To claim this idea, it is desirable to perform comparative analyses with AVR-Pia and AVR-Pii. Although the authors describe (in P16L400) that “The continuing absence of AVR-Pia and AVR-Pii after Pia and Pi-i were not deployed in the field suggest that there is not a fitness penalty associated with total loss of these AVR genes”, data for this claim are not sufficient. For these two genes the authors describe (in P7L157) that</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“we detected few PCR products of AVR-Pii and AVR-Pia in a test panel consisting of 131 isolates randomly selected from 2000 to 2013. As a result, both AVR-Pii and AVR-Pia were removed from further analysis.”</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On the other hand, Table S3 shows that the frequencies of Pi-a and Pi-i were high in 1960-1967 and 1960-1975, respectively, but then decreased, and finally reached to 0% in 1978. After that, these genes have never been used in U.S. If the authors examine frequencies of AVR-Pia and AVR-Pii, in 1960-2000, they might be able to show clearly that these AVR genes decreased in response to the deployment of the corresponding R genes and were never recovered even after the complete removal of these R genes from the fields. If this is the case, the authors can argue that they succeeded in evaluating the fitness cost imposed by losses of the four AVR genes by tracing their dynamics after the removal of their corresponding R genes from the fields; high in AVR-Pita, intermediate in AVR-Pik, and almost zero in AVR-Pii and AVR-Pia. AVR-Pii and AVR-Pia seem to be good “negative controls”.</w:t>
      </w:r>
      <w:r w:rsidDel="00000000" w:rsidR="00000000" w:rsidRPr="00000000">
        <w:rPr>
          <w:rFonts w:ascii="Times New Roman" w:cs="Times New Roman" w:eastAsia="Times New Roman" w:hAnsi="Times New Roman"/>
          <w:color w:val="222222"/>
          <w:sz w:val="24"/>
          <w:szCs w:val="24"/>
          <w:rtl w:val="0"/>
        </w:rPr>
        <w:br w:type="textWrapping"/>
      </w:r>
    </w:p>
    <w:p w:rsidR="00000000" w:rsidDel="00000000" w:rsidP="00000000" w:rsidRDefault="00000000" w:rsidRPr="00000000" w14:paraId="0000001E">
      <w:pPr>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rtl w:val="0"/>
        </w:rPr>
        <w:t xml:space="preserve">Our response: We analyzed the existences of both AVR-Pia and AVR-Pii in 840 isolates and the data for these negative controls have been added and see dataset S1. </w:t>
      </w:r>
      <w:r w:rsidDel="00000000" w:rsidR="00000000" w:rsidRPr="00000000">
        <w:rPr>
          <w:rFonts w:ascii="Times New Roman" w:cs="Times New Roman" w:eastAsia="Times New Roman" w:hAnsi="Times New Roman"/>
          <w:i w:val="1"/>
          <w:color w:val="0000ff"/>
          <w:sz w:val="24"/>
          <w:szCs w:val="24"/>
          <w:rtl w:val="0"/>
        </w:rPr>
        <w:t xml:space="preserve">We’ve also added the patterns for all genes in worldwide data obtained through resequencing analysis of available materials; which showed that the decreasing pattern of frequency for AVR-Pia and AVR-Pii are similar there, except that the frequency of AVR-Pii was much higher at the world level in the early time periods but have generally also trended towards zero.</w:t>
      </w:r>
    </w:p>
    <w:p w:rsidR="00000000" w:rsidDel="00000000" w:rsidP="00000000" w:rsidRDefault="00000000" w:rsidRPr="00000000" w14:paraId="0000001F">
      <w:pPr>
        <w:rPr>
          <w:rFonts w:ascii="Times New Roman" w:cs="Times New Roman" w:eastAsia="Times New Roman" w:hAnsi="Times New Roman"/>
          <w:i w:val="1"/>
          <w:color w:val="0000ff"/>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Minor comments:</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-P4L63: and ---&gt; Roman </w:t>
      </w:r>
    </w:p>
    <w:p w:rsidR="00000000" w:rsidDel="00000000" w:rsidP="00000000" w:rsidRDefault="00000000" w:rsidRPr="00000000" w14:paraId="00000021">
      <w:pPr>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corrected as recommended.</w:t>
      </w:r>
    </w:p>
    <w:p w:rsidR="00000000" w:rsidDel="00000000" w:rsidP="00000000" w:rsidRDefault="00000000" w:rsidRPr="00000000" w14:paraId="00000022">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-P6L141: 168 ---&gt;162? </w:t>
      </w:r>
    </w:p>
    <w:p w:rsidR="00000000" w:rsidDel="00000000" w:rsidP="00000000" w:rsidRDefault="00000000" w:rsidRPr="00000000" w14:paraId="00000023">
      <w:pPr>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As showing in table S5, a total of 168 AvrPik sequences have been analyzed.</w:t>
      </w:r>
    </w:p>
    <w:p w:rsidR="00000000" w:rsidDel="00000000" w:rsidP="00000000" w:rsidRDefault="00000000" w:rsidRPr="00000000" w14:paraId="00000024">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i w:val="1"/>
          <w:color w:val="0000ff"/>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-P7L165: “The frequency of AVR-Pik has been low since the 1970se to the first low point in 1980se, peaked up again at the beginning of 1980sl, went down to the lowest point in 2000sl and increased thereafter.”</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  The total numbers of isolates tested in 1980se in1980sl are only 16 and 8, respectively. The difference of the percentages of carriers does not seem to be significant.</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-P14L362: The frequency of Pi-km ---&gt; The frequency of AVR-Pik? </w:t>
      </w:r>
      <w:r w:rsidDel="00000000" w:rsidR="00000000" w:rsidRPr="00000000">
        <w:rPr>
          <w:rFonts w:ascii="Times New Roman" w:cs="Times New Roman" w:eastAsia="Times New Roman" w:hAnsi="Times New Roman"/>
          <w:color w:val="222222"/>
          <w:sz w:val="24"/>
          <w:szCs w:val="24"/>
          <w:highlight w:val="yellow"/>
          <w:rtl w:val="0"/>
        </w:rPr>
        <w:t xml:space="preserve">????</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-P17L432: the the ---&gt; the </w:t>
      </w:r>
      <w:r w:rsidDel="00000000" w:rsidR="00000000" w:rsidRPr="00000000">
        <w:rPr>
          <w:rFonts w:ascii="Times New Roman" w:cs="Times New Roman" w:eastAsia="Times New Roman" w:hAnsi="Times New Roman"/>
          <w:color w:val="222222"/>
          <w:sz w:val="24"/>
          <w:szCs w:val="24"/>
          <w:highlight w:val="green"/>
          <w:rtl w:val="0"/>
        </w:rPr>
        <w:t xml:space="preserve">????</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-Table 1:</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   In the column of “population”: 1970sE, 1970sL etc. --- &gt; 1970se, 1970sl etc.? </w:t>
      </w:r>
    </w:p>
    <w:p w:rsidR="00000000" w:rsidDel="00000000" w:rsidP="00000000" w:rsidRDefault="00000000" w:rsidRPr="00000000" w14:paraId="00000025">
      <w:pPr>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Changed as recommended.</w:t>
      </w:r>
      <w:r w:rsidDel="00000000" w:rsidR="00000000" w:rsidRPr="00000000">
        <w:rPr>
          <w:rFonts w:ascii="Times New Roman" w:cs="Times New Roman" w:eastAsia="Times New Roman" w:hAnsi="Times New Roman"/>
          <w:i w:val="1"/>
          <w:color w:val="0000ff"/>
          <w:sz w:val="24"/>
          <w:szCs w:val="24"/>
          <w:rtl w:val="0"/>
        </w:rPr>
        <w:br w:type="textWrapping"/>
      </w:r>
      <w:r w:rsidDel="00000000" w:rsidR="00000000" w:rsidRPr="00000000">
        <w:rPr>
          <w:rFonts w:ascii="Times New Roman" w:cs="Times New Roman" w:eastAsia="Times New Roman" w:hAnsi="Times New Roman"/>
          <w:i w:val="1"/>
          <w:color w:val="0000ff"/>
          <w:sz w:val="24"/>
          <w:szCs w:val="24"/>
          <w:highlight w:val="white"/>
          <w:rtl w:val="0"/>
        </w:rPr>
        <w:t xml:space="preserve">   In the column of “Total isolates”: 168 ---&gt; 162? </w:t>
      </w:r>
    </w:p>
    <w:p w:rsidR="00000000" w:rsidDel="00000000" w:rsidP="00000000" w:rsidRDefault="00000000" w:rsidRPr="00000000" w14:paraId="00000026">
      <w:pPr>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highlight w:val="white"/>
          <w:rtl w:val="0"/>
        </w:rPr>
        <w:t xml:space="preserve">Our response: As showing in table S5, a total of 168 AVR-Pik sequences have been analyzed</w:t>
      </w:r>
      <w:r w:rsidDel="00000000" w:rsidR="00000000" w:rsidRPr="00000000">
        <w:rPr>
          <w:rFonts w:ascii="Times New Roman" w:cs="Times New Roman" w:eastAsia="Times New Roman" w:hAnsi="Times New Roman"/>
          <w:i w:val="1"/>
          <w:color w:val="0000ff"/>
          <w:sz w:val="24"/>
          <w:szCs w:val="24"/>
          <w:rtl w:val="0"/>
        </w:rPr>
        <w:br w:type="textWrapping"/>
      </w:r>
    </w:p>
    <w:p w:rsidR="00000000" w:rsidDel="00000000" w:rsidP="00000000" w:rsidRDefault="00000000" w:rsidRPr="00000000" w14:paraId="00000027">
      <w:pPr>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rtl w:val="0"/>
        </w:rPr>
        <w:t xml:space="preserve">Finally, we checked the entire manuscript for consistency and accuracy.  Let me know if further edits will be required.  Otherwise, I would be pleased to know that the present version is acceptable.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E76BEE"/>
    <w:rPr>
      <w:color w:val="0000ff"/>
      <w:u w:val="single"/>
    </w:rPr>
  </w:style>
  <w:style w:type="character" w:styleId="UnresolvedMention">
    <w:name w:val="Unresolved Mention"/>
    <w:basedOn w:val="DefaultParagraphFont"/>
    <w:uiPriority w:val="99"/>
    <w:semiHidden w:val="1"/>
    <w:unhideWhenUsed w:val="1"/>
    <w:rsid w:val="004F31D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94/MPMI-21-5-0658" TargetMode="External"/><Relationship Id="rId10" Type="http://schemas.openxmlformats.org/officeDocument/2006/relationships/hyperlink" Target="https://doi.org/10.1186/s12915-020-00818-z" TargetMode="External"/><Relationship Id="rId13" Type="http://schemas.openxmlformats.org/officeDocument/2006/relationships/hyperlink" Target="https://doi.org/10.1094/MPMI-09-18-0245-R" TargetMode="External"/><Relationship Id="rId12" Type="http://schemas.openxmlformats.org/officeDocument/2006/relationships/hyperlink" Target="https://doi.org/10.1186/s12870-019-181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 TargetMode="External"/><Relationship Id="rId15" Type="http://schemas.openxmlformats.org/officeDocument/2006/relationships/hyperlink" Target="https://doi.org/10.1038/s41477-018-0194-x" TargetMode="External"/><Relationship Id="rId14" Type="http://schemas.openxmlformats.org/officeDocument/2006/relationships/hyperlink" Target="https://doi.org/10.1371/journal" TargetMode="External"/><Relationship Id="rId17" Type="http://schemas.openxmlformats.org/officeDocument/2006/relationships/hyperlink" Target="https://doi.org/10.1371/journal" TargetMode="External"/><Relationship Id="rId16" Type="http://schemas.openxmlformats.org/officeDocument/2006/relationships/hyperlink" Target="https://doi.org/10.1111/j.1365-313X.2012.05110.x" TargetMode="External"/><Relationship Id="rId5" Type="http://schemas.openxmlformats.org/officeDocument/2006/relationships/styles" Target="styles.xml"/><Relationship Id="rId19" Type="http://schemas.openxmlformats.org/officeDocument/2006/relationships/hyperlink" Target="https://doi.org/10.1101/2020.12.01.406389" TargetMode="External"/><Relationship Id="rId6" Type="http://schemas.openxmlformats.org/officeDocument/2006/relationships/customXml" Target="../customXML/item1.xml"/><Relationship Id="rId18" Type="http://schemas.openxmlformats.org/officeDocument/2006/relationships/hyperlink" Target="https://doi.org/10.1016/j.cell.2021.09.009" TargetMode="External"/><Relationship Id="rId7" Type="http://schemas.openxmlformats.org/officeDocument/2006/relationships/hyperlink" Target="https://doi.org/" TargetMode="External"/><Relationship Id="rId8" Type="http://schemas.openxmlformats.org/officeDocument/2006/relationships/hyperlink" Target="https://doi.org/10.1186/s12915-020-00818-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EOfCDR7F21j/Emlw02wRo/XZ2w==">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2025-03-03T14:48:00Z</dcterms:created>
  <dc:creator>Wang Xueyan USRE</dc:creator>
</cp:coreProperties>
</file>