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fonts/font2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30.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5.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11.odttf" ContentType="application/vnd.openxmlformats-officedocument.obfuscatedFont"/>
  <Override PartName="/word/fonts/font27.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360"/>
        <w:jc w:val="both"/>
        <w:rPr/>
      </w:pPr>
      <w:r>
        <w:rPr>
          <w:rFonts w:eastAsia="Times New Roman" w:cs="Times New Roman" w:ascii="Times New Roman" w:hAnsi="Times New Roman"/>
          <w:b/>
          <w:bCs/>
          <w:color w:val="212121"/>
          <w:sz w:val="32"/>
          <w:szCs w:val="32"/>
          <w:highlight w:val="white"/>
        </w:rPr>
        <w:t xml:space="preserve">Avirulence genes of </w:t>
      </w:r>
      <w:r>
        <w:rPr>
          <w:rFonts w:eastAsia="Times New Roman" w:cs="Times New Roman" w:ascii="Times New Roman" w:hAnsi="Times New Roman"/>
          <w:b/>
          <w:bCs/>
          <w:i/>
          <w:iCs/>
          <w:color w:val="212121"/>
          <w:sz w:val="32"/>
          <w:szCs w:val="32"/>
          <w:highlight w:val="white"/>
        </w:rPr>
        <w:t>Magnaporthe oryzae</w:t>
      </w:r>
      <w:r>
        <w:rPr>
          <w:rFonts w:eastAsia="Times New Roman" w:cs="Times New Roman" w:ascii="Times New Roman" w:hAnsi="Times New Roman"/>
          <w:b/>
          <w:bCs/>
          <w:color w:val="212121"/>
          <w:sz w:val="32"/>
          <w:szCs w:val="32"/>
          <w:highlight w:val="white"/>
        </w:rPr>
        <w:t xml:space="preserve"> are a pathogen defense arsenal shaped by cognate rice resistance genes in the field</w:t>
      </w:r>
    </w:p>
    <w:p>
      <w:pPr>
        <w:pStyle w:val="LO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jc w:val="both"/>
        <w:rPr/>
      </w:pPr>
      <w:bookmarkStart w:id="0" w:name="_go7gf22s870v"/>
      <w:bookmarkEnd w:id="0"/>
      <w:r>
        <w:rPr>
          <w:rFonts w:eastAsia="Times New Roman" w:cs="Times New Roman" w:ascii="Times New Roman" w:hAnsi="Times New Roman"/>
          <w:b/>
          <w:bCs/>
          <w:sz w:val="24"/>
          <w:szCs w:val="24"/>
        </w:rPr>
        <w:t>Xueyan Wang</w:t>
      </w:r>
      <w:r>
        <w:rPr>
          <w:rFonts w:eastAsia="Times New Roman" w:cs="Times New Roman" w:ascii="Times New Roman" w:hAnsi="Times New Roman"/>
          <w:b/>
          <w:bCs/>
          <w:sz w:val="24"/>
          <w:szCs w:val="24"/>
          <w:vertAlign w:val="superscript"/>
        </w:rPr>
        <w:t>x1,2</w:t>
      </w:r>
      <w:r>
        <w:rPr>
          <w:rFonts w:eastAsia="Times New Roman" w:cs="Times New Roman" w:ascii="Times New Roman" w:hAnsi="Times New Roman"/>
          <w:b/>
          <w:bCs/>
          <w:sz w:val="24"/>
          <w:szCs w:val="24"/>
        </w:rPr>
        <w:t>, Grant T. Billings</w:t>
      </w:r>
      <w:r>
        <w:rPr>
          <w:rFonts w:eastAsia="Times New Roman" w:cs="Times New Roman" w:ascii="Times New Roman" w:hAnsi="Times New Roman"/>
          <w:b/>
          <w:bCs/>
          <w:sz w:val="24"/>
          <w:szCs w:val="24"/>
          <w:vertAlign w:val="superscript"/>
        </w:rPr>
        <w:t>x3</w:t>
      </w:r>
      <w:r>
        <w:rPr>
          <w:rFonts w:eastAsia="Times New Roman" w:cs="Times New Roman" w:ascii="Times New Roman" w:hAnsi="Times New Roman"/>
          <w:b/>
          <w:bCs/>
          <w:sz w:val="24"/>
          <w:szCs w:val="24"/>
        </w:rPr>
        <w:t>, Amanda M. Hulse-Kemp</w:t>
      </w:r>
      <w:r>
        <w:rPr>
          <w:rFonts w:eastAsia="Times New Roman" w:cs="Times New Roman" w:ascii="Times New Roman" w:hAnsi="Times New Roman"/>
          <w:b/>
          <w:bCs/>
          <w:sz w:val="24"/>
          <w:szCs w:val="24"/>
          <w:vertAlign w:val="superscript"/>
        </w:rPr>
        <w:t>4</w:t>
      </w:r>
      <w:r>
        <w:rPr>
          <w:rFonts w:eastAsia="Times New Roman" w:cs="Times New Roman" w:ascii="Times New Roman" w:hAnsi="Times New Roman"/>
          <w:b/>
          <w:bCs/>
          <w:sz w:val="24"/>
          <w:szCs w:val="24"/>
        </w:rPr>
        <w:t>, Quentin D. Read</w:t>
      </w:r>
      <w:r>
        <w:rPr>
          <w:rFonts w:eastAsia="Times New Roman" w:cs="Times New Roman" w:ascii="Times New Roman" w:hAnsi="Times New Roman"/>
          <w:b/>
          <w:bCs/>
          <w:sz w:val="24"/>
          <w:szCs w:val="24"/>
          <w:vertAlign w:val="superscript"/>
        </w:rPr>
        <w:t>5</w:t>
      </w:r>
      <w:r>
        <w:rPr>
          <w:rFonts w:eastAsia="Times New Roman" w:cs="Times New Roman" w:ascii="Times New Roman" w:hAnsi="Times New Roman"/>
          <w:b/>
          <w:bCs/>
          <w:sz w:val="24"/>
          <w:szCs w:val="24"/>
        </w:rPr>
        <w:t>, Yulin Jia</w:t>
      </w:r>
      <w:r>
        <w:rPr>
          <w:rFonts w:eastAsia="Times New Roman" w:cs="Times New Roman" w:ascii="Times New Roman" w:hAnsi="Times New Roman"/>
          <w:b/>
          <w:bCs/>
          <w:sz w:val="24"/>
          <w:szCs w:val="24"/>
          <w:vertAlign w:val="superscript"/>
        </w:rPr>
        <w:t>2</w:t>
      </w:r>
      <w:r>
        <w:rPr>
          <w:rFonts w:eastAsia="Times New Roman" w:cs="Times New Roman" w:ascii="Times New Roman" w:hAnsi="Times New Roman"/>
          <w:b/>
          <w:bCs/>
          <w:sz w:val="24"/>
          <w:szCs w:val="24"/>
        </w:rPr>
        <w:t>, Melissa H. Jia,</w:t>
      </w:r>
      <w:r>
        <w:rPr>
          <w:rFonts w:eastAsia="Times New Roman" w:cs="Times New Roman" w:ascii="Times New Roman" w:hAnsi="Times New Roman"/>
          <w:b/>
          <w:bCs/>
          <w:sz w:val="24"/>
          <w:szCs w:val="24"/>
          <w:vertAlign w:val="superscript"/>
        </w:rPr>
        <w:t xml:space="preserve">2 </w:t>
      </w:r>
      <w:r>
        <w:rPr>
          <w:rFonts w:eastAsia="Times New Roman" w:cs="Times New Roman" w:ascii="Times New Roman" w:hAnsi="Times New Roman"/>
          <w:b/>
          <w:bCs/>
          <w:sz w:val="24"/>
          <w:szCs w:val="24"/>
        </w:rPr>
        <w:t>Yixiao Huang</w:t>
      </w:r>
      <w:r>
        <w:rPr>
          <w:rFonts w:eastAsia="Times New Roman" w:cs="Times New Roman" w:ascii="Times New Roman" w:hAnsi="Times New Roman"/>
          <w:b/>
          <w:bCs/>
          <w:sz w:val="24"/>
          <w:szCs w:val="24"/>
          <w:vertAlign w:val="superscript"/>
        </w:rPr>
        <w:t>2</w:t>
      </w:r>
      <w:r>
        <w:rPr>
          <w:rFonts w:eastAsia="Times New Roman" w:cs="Times New Roman" w:ascii="Times New Roman" w:hAnsi="Times New Roman"/>
          <w:b/>
          <w:bCs/>
          <w:sz w:val="24"/>
          <w:szCs w:val="24"/>
        </w:rPr>
        <w:t>, Yeshi Wamishe,</w:t>
      </w:r>
      <w:r>
        <w:rPr>
          <w:rFonts w:eastAsia="Times New Roman" w:cs="Times New Roman" w:ascii="Times New Roman" w:hAnsi="Times New Roman"/>
          <w:b/>
          <w:bCs/>
          <w:sz w:val="24"/>
          <w:szCs w:val="24"/>
          <w:vertAlign w:val="superscript"/>
        </w:rPr>
        <w:t>1</w:t>
      </w:r>
      <w:r>
        <w:rPr>
          <w:rFonts w:eastAsia="Times New Roman" w:cs="Times New Roman" w:ascii="Times New Roman" w:hAnsi="Times New Roman"/>
          <w:b/>
          <w:bCs/>
          <w:sz w:val="24"/>
          <w:szCs w:val="24"/>
        </w:rPr>
        <w:t xml:space="preserve"> and Barbara Valent</w:t>
      </w:r>
      <w:r>
        <w:rPr>
          <w:rFonts w:eastAsia="Times New Roman" w:cs="Times New Roman" w:ascii="Times New Roman" w:hAnsi="Times New Roman"/>
          <w:b/>
          <w:bCs/>
          <w:sz w:val="24"/>
          <w:szCs w:val="24"/>
          <w:vertAlign w:val="superscript"/>
        </w:rPr>
        <w:t>6</w:t>
      </w:r>
    </w:p>
    <w:p>
      <w:pPr>
        <w:pStyle w:val="LOnormal"/>
        <w:spacing w:lineRule="auto" w:line="360"/>
        <w:jc w:val="both"/>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LOnormal"/>
        <w:spacing w:lineRule="auto" w:line="360"/>
        <w:jc w:val="both"/>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LOnormal"/>
        <w:spacing w:lineRule="auto" w:line="360"/>
        <w:jc w:val="both"/>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LOnormal"/>
        <w:spacing w:lineRule="auto" w:line="360"/>
        <w:jc w:val="both"/>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LOnormal"/>
        <w:spacing w:lineRule="auto" w:line="360"/>
        <w:jc w:val="both"/>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LOnormal"/>
        <w:spacing w:lineRule="auto" w:line="360"/>
        <w:jc w:val="both"/>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LOnormal"/>
        <w:spacing w:lineRule="auto" w:line="360"/>
        <w:jc w:val="both"/>
        <w:rPr/>
      </w:pPr>
      <w:r>
        <w:rPr>
          <w:rFonts w:eastAsia="Times New Roman" w:cs="Times New Roman" w:ascii="Times New Roman" w:hAnsi="Times New Roman"/>
          <w:sz w:val="24"/>
          <w:szCs w:val="24"/>
        </w:rPr>
        <w:t>x These authors contributed equally.</w:t>
      </w:r>
    </w:p>
    <w:p>
      <w:pPr>
        <w:pStyle w:val="LOnormal"/>
        <w:spacing w:lineRule="auto" w:line="360"/>
        <w:jc w:val="both"/>
        <w:rPr/>
      </w:pPr>
      <w:r>
        <w:rPr>
          <w:rFonts w:eastAsia="Times New Roman" w:cs="Times New Roman" w:ascii="Times New Roman" w:hAnsi="Times New Roman"/>
          <w:sz w:val="24"/>
          <w:szCs w:val="24"/>
        </w:rPr>
        <w:t>Corresponding author: Yulin Jia (Email: yulin.jia@usda.gov)</w:t>
      </w:r>
      <w:r>
        <w:br w:type="page"/>
      </w:r>
    </w:p>
    <w:p>
      <w:pPr>
        <w:pStyle w:val="LOnormal"/>
        <w:spacing w:lineRule="auto" w:line="360"/>
        <w:jc w:val="both"/>
        <w:rPr/>
      </w:pPr>
      <w:r>
        <w:rPr>
          <w:rFonts w:eastAsia="Times New Roman" w:cs="Times New Roman" w:ascii="Times New Roman" w:hAnsi="Times New Roman"/>
          <w:b/>
          <w:bCs/>
          <w:sz w:val="24"/>
          <w:szCs w:val="24"/>
        </w:rPr>
        <w:t>Summary</w:t>
      </w:r>
    </w:p>
    <w:p>
      <w:pPr>
        <w:pStyle w:val="LOnormal"/>
        <w:numPr>
          <w:ilvl w:val="0"/>
          <w:numId w:val="1"/>
        </w:numPr>
        <w:spacing w:lineRule="auto" w:line="360" w:before="0" w:after="0"/>
        <w:ind w:left="720" w:hanging="360"/>
        <w:jc w:val="both"/>
        <w:rPr/>
      </w:pPr>
      <w:bookmarkStart w:id="1" w:name="_35sar2hky0"/>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iCs/>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not used in the US.</w:t>
      </w:r>
    </w:p>
    <w:p>
      <w:pPr>
        <w:pStyle w:val="LOnormal"/>
        <w:numPr>
          <w:ilvl w:val="0"/>
          <w:numId w:val="1"/>
        </w:numPr>
        <w:spacing w:lineRule="auto" w:line="360" w:before="0" w:after="0"/>
        <w:ind w:left="720" w:hanging="360"/>
        <w:jc w:val="both"/>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corresponding to rice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deployment and then recovered to 99% in recent years. </w:t>
      </w:r>
    </w:p>
    <w:p>
      <w:pPr>
        <w:pStyle w:val="LOnormal"/>
        <w:numPr>
          <w:ilvl w:val="0"/>
          <w:numId w:val="1"/>
        </w:numPr>
        <w:spacing w:lineRule="auto" w:line="360" w:before="0" w:after="0"/>
        <w:ind w:left="720" w:hanging="360"/>
        <w:jc w:val="both"/>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usage and durable control of blast disease. </w:t>
      </w:r>
    </w:p>
    <w:p>
      <w:pPr>
        <w:pStyle w:val="LOnormal"/>
        <w:numPr>
          <w:ilvl w:val="0"/>
          <w:numId w:val="1"/>
        </w:numPr>
        <w:spacing w:lineRule="auto" w:line="360"/>
        <w:ind w:left="720" w:hanging="360"/>
        <w:jc w:val="both"/>
        <w:rPr/>
      </w:pP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iCs/>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LOnormal"/>
        <w:rPr/>
      </w:pPr>
      <w:r>
        <w:rPr>
          <w:rFonts w:eastAsia="Times New Roman" w:cs="Times New Roman" w:ascii="Times New Roman" w:hAnsi="Times New Roman"/>
          <w:b/>
          <w:bCs/>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iCs/>
          <w:sz w:val="24"/>
          <w:szCs w:val="24"/>
        </w:rPr>
        <w:t>Oryza sativa</w:t>
      </w:r>
      <w:r>
        <w:rPr>
          <w:rFonts w:eastAsia="Times New Roman" w:cs="Times New Roman" w:ascii="Times New Roman" w:hAnsi="Times New Roman"/>
          <w:b/>
          <w:bCs/>
          <w:sz w:val="24"/>
          <w:szCs w:val="24"/>
        </w:rPr>
        <w:t>.</w:t>
      </w:r>
      <w:r>
        <w:br w:type="page"/>
      </w:r>
    </w:p>
    <w:p>
      <w:pPr>
        <w:pStyle w:val="LOnormal"/>
        <w:spacing w:lineRule="auto" w:line="360"/>
        <w:jc w:val="both"/>
        <w:rPr/>
      </w:pPr>
      <w:r>
        <w:rPr>
          <w:rFonts w:eastAsia="Times New Roman" w:cs="Times New Roman" w:ascii="Times New Roman" w:hAnsi="Times New Roman"/>
          <w:b/>
          <w:bCs/>
          <w:sz w:val="24"/>
          <w:szCs w:val="24"/>
        </w:rPr>
        <w:t>Introduction</w:t>
      </w:r>
    </w:p>
    <w:p>
      <w:pPr>
        <w:pStyle w:val="LOnormal"/>
        <w:spacing w:lineRule="auto" w:line="360"/>
        <w:jc w:val="both"/>
        <w:rPr/>
      </w:pPr>
      <w:bookmarkStart w:id="2" w:name="_ux6sber8e3qv"/>
      <w:bookmarkEnd w:id="2"/>
      <w:r>
        <w:rPr>
          <w:rFonts w:eastAsia="Times New Roman" w:cs="Times New Roman" w:ascii="Times New Roman" w:hAnsi="Times New Roman"/>
          <w:sz w:val="24"/>
          <w:szCs w:val="24"/>
        </w:rPr>
        <w:t>Rice (</w:t>
      </w:r>
      <w:r>
        <w:rPr>
          <w:rFonts w:eastAsia="Times New Roman" w:cs="Times New Roman" w:ascii="Times New Roman" w:hAnsi="Times New Roman"/>
          <w:i/>
          <w:iCs/>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iCs/>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iCs/>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w:t>
      </w:r>
      <w:r>
        <w:rPr>
          <w:rFonts w:eastAsia="Times New Roman" w:cs="Times New Roman" w:ascii="Times New Roman" w:hAnsi="Times New Roman"/>
          <w:sz w:val="24"/>
          <w:szCs w:val="24"/>
          <w:shd w:fill="FFFF00" w:val="clear"/>
        </w:rPr>
        <w:t>70 million USD</w:t>
      </w:r>
      <w:r>
        <w:rPr>
          <w:rFonts w:eastAsia="Times New Roman" w:cs="Times New Roman" w:ascii="Times New Roman" w:hAnsi="Times New Roman"/>
          <w:sz w:val="24"/>
          <w:szCs w:val="24"/>
        </w:rPr>
        <w:t xml:space="preserve"> is estimated to be required annually in the mid-south alone to suppress the disease (Nalley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2016). Globally, a loss of </w:t>
      </w:r>
      <w:r>
        <w:rPr>
          <w:rFonts w:eastAsia="Times New Roman" w:cs="Times New Roman" w:ascii="Times New Roman" w:hAnsi="Times New Roman"/>
          <w:sz w:val="24"/>
          <w:szCs w:val="24"/>
          <w:shd w:fill="FFFF00" w:val="clear"/>
        </w:rPr>
        <w:t>66 billion USD</w:t>
      </w:r>
      <w:r>
        <w:rPr>
          <w:rFonts w:eastAsia="Times New Roman" w:cs="Times New Roman" w:ascii="Times New Roman" w:hAnsi="Times New Roman"/>
          <w:sz w:val="24"/>
          <w:szCs w:val="24"/>
        </w:rPr>
        <w:t xml:space="preserve"> is estimated due to blast, equivalent to an amount that is enough to feed 60 million people (Pennisi, 2010). The use of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have been identified from cultivated and wild rice relatives, of which 50+ have been molecularly characterized worldwide (Wang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2018; Kou </w:t>
      </w:r>
      <w:r>
        <w:rPr>
          <w:rFonts w:eastAsia="Times New Roman" w:cs="Times New Roman" w:ascii="Times New Roman" w:hAnsi="Times New Roman"/>
          <w:i/>
          <w:iCs/>
          <w:sz w:val="24"/>
          <w:szCs w:val="24"/>
        </w:rPr>
        <w:t>et al</w:t>
      </w:r>
      <w:r>
        <w:rPr>
          <w:rFonts w:eastAsia="Times New Roman" w:cs="Times New Roman" w:ascii="Times New Roman" w:hAnsi="Times New Roman"/>
          <w:i w:val="false"/>
          <w:iCs w:val="false"/>
          <w:sz w:val="24"/>
          <w:szCs w:val="24"/>
        </w:rPr>
        <w:t>., 2024</w:t>
      </w:r>
      <w:r>
        <w:rPr>
          <w:rFonts w:eastAsia="Times New Roman" w:cs="Times New Roman" w:ascii="Times New Roman" w:hAnsi="Times New Roman"/>
          <w:sz w:val="24"/>
          <w:szCs w:val="24"/>
        </w:rPr>
        <w:t xml:space="preserve">). In the US,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iCs/>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2017b).</w:t>
      </w:r>
    </w:p>
    <w:p>
      <w:pPr>
        <w:pStyle w:val="LOnormal"/>
        <w:spacing w:lineRule="auto" w:line="360"/>
        <w:jc w:val="both"/>
        <w:rPr/>
      </w:pPr>
      <w:bookmarkStart w:id="3" w:name="_plz9cihj7ou1"/>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iCs/>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iCs/>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iCs/>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iCs/>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this rice-blast pathosystem. Deletion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has facilitated the cloning processes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w:t>
      </w:r>
    </w:p>
    <w:p>
      <w:pPr>
        <w:pStyle w:val="LOnormal"/>
        <w:spacing w:lineRule="auto" w:line="360"/>
        <w:jc w:val="both"/>
        <w:rPr/>
      </w:pPr>
      <w:bookmarkStart w:id="4" w:name="_9mni1rbogatu"/>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iCs/>
          <w:sz w:val="24"/>
          <w:szCs w:val="24"/>
        </w:rPr>
        <w:t>PWL2, AVR1-CO39, AVR-Pita, ACE1, AVR-Pia, AVR-Pii</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iCs/>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iCs/>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LOnormal"/>
        <w:spacing w:lineRule="auto" w:line="360"/>
        <w:jc w:val="both"/>
        <w:rPr/>
      </w:pPr>
      <w:bookmarkStart w:id="5" w:name="_q3syrvvwo6p"/>
      <w:bookmarkEnd w:id="5"/>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iCs/>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iCs/>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iCs/>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iCs/>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2013).</w:t>
      </w:r>
    </w:p>
    <w:p>
      <w:pPr>
        <w:pStyle w:val="LOnormal"/>
        <w:spacing w:lineRule="auto" w:line="360"/>
        <w:jc w:val="both"/>
        <w:rPr/>
      </w:pPr>
      <w:bookmarkStart w:id="6" w:name="_k33d4n2qpe0m"/>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iCs/>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iCs/>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2009). </w:t>
      </w:r>
    </w:p>
    <w:p>
      <w:pPr>
        <w:pStyle w:val="LOnormal"/>
        <w:spacing w:lineRule="auto" w:line="360"/>
        <w:jc w:val="both"/>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iCs/>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across locations over time. </w:t>
      </w:r>
    </w:p>
    <w:p>
      <w:pPr>
        <w:pStyle w:val="LOnormal"/>
        <w:spacing w:lineRule="auto" w:line="360" w:before="120" w:after="120"/>
        <w:jc w:val="both"/>
        <w:rPr/>
      </w:pPr>
      <w:bookmarkStart w:id="7" w:name="_yh39wcy0anz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LOnormal"/>
        <w:spacing w:lineRule="auto" w:line="360"/>
        <w:jc w:val="both"/>
        <w:rPr/>
      </w:pPr>
      <w:r>
        <w:rPr>
          <w:rFonts w:eastAsia="Times New Roman" w:cs="Times New Roman" w:ascii="Times New Roman" w:hAnsi="Times New Roman"/>
          <w:b/>
          <w:bCs/>
          <w:sz w:val="24"/>
          <w:szCs w:val="24"/>
        </w:rPr>
        <w:t>Materials and methods</w:t>
      </w:r>
    </w:p>
    <w:p>
      <w:pPr>
        <w:pStyle w:val="LOnormal"/>
        <w:spacing w:lineRule="auto" w:line="360"/>
        <w:jc w:val="both"/>
        <w:rPr/>
      </w:pPr>
      <w:r>
        <w:rPr>
          <w:rFonts w:eastAsia="Times New Roman" w:cs="Times New Roman" w:ascii="Times New Roman" w:hAnsi="Times New Roman"/>
          <w:b/>
          <w:bCs/>
          <w:color w:val="000000"/>
          <w:sz w:val="24"/>
          <w:szCs w:val="24"/>
        </w:rPr>
        <w:t xml:space="preserve">Fungal materials and detection and DNA sequencing of the </w:t>
      </w:r>
      <w:r>
        <w:rPr>
          <w:rFonts w:eastAsia="Times New Roman" w:cs="Times New Roman" w:ascii="Times New Roman" w:hAnsi="Times New Roman"/>
          <w:b/>
          <w:bCs/>
          <w:i/>
          <w:iCs/>
          <w:color w:val="000000"/>
          <w:sz w:val="24"/>
          <w:szCs w:val="24"/>
        </w:rPr>
        <w:t>AVR</w:t>
      </w:r>
      <w:r>
        <w:rPr>
          <w:rFonts w:eastAsia="Times New Roman" w:cs="Times New Roman" w:ascii="Times New Roman" w:hAnsi="Times New Roman"/>
          <w:b/>
          <w:bCs/>
          <w:color w:val="000000"/>
          <w:sz w:val="24"/>
          <w:szCs w:val="24"/>
        </w:rPr>
        <w:t xml:space="preserve"> genes</w:t>
      </w:r>
    </w:p>
    <w:p>
      <w:pPr>
        <w:pStyle w:val="LOnormal"/>
        <w:spacing w:lineRule="auto" w:line="360" w:before="0" w:after="0"/>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w:t>
      </w:r>
      <w:r>
        <w:rPr>
          <w:rFonts w:eastAsia="Times New Roman" w:cs="Times New Roman" w:ascii="Times New Roman" w:hAnsi="Times New Roman"/>
          <w:b/>
          <w:bCs/>
          <w:sz w:val="24"/>
          <w:szCs w:val="24"/>
        </w:rPr>
        <w:t>Table S2</w:t>
      </w:r>
      <w:r>
        <w:rPr>
          <w:rFonts w:eastAsia="Times New Roman" w:cs="Times New Roman" w:ascii="Times New Roman" w:hAnsi="Times New Roman"/>
          <w:sz w:val="24"/>
          <w:szCs w:val="24"/>
        </w:rPr>
        <w:t xml:space="preserve">).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isolates before 2000 were collected by Dr. Toni Marchetti (ARS, Beaumont, Texas). From 2000 onwards, different individuals collected the isolates. </w:t>
      </w:r>
    </w:p>
    <w:p>
      <w:pPr>
        <w:pStyle w:val="LOnormal"/>
        <w:spacing w:lineRule="auto" w:line="360" w:before="0" w:after="0"/>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gene detection (</w:t>
      </w:r>
      <w:r>
        <w:rPr>
          <w:rFonts w:eastAsia="Times New Roman" w:cs="Times New Roman" w:ascii="Times New Roman" w:hAnsi="Times New Roman"/>
          <w:b/>
          <w:bCs/>
          <w:sz w:val="24"/>
          <w:szCs w:val="24"/>
        </w:rPr>
        <w:t>Table S2</w:t>
      </w:r>
      <w:r>
        <w:rPr>
          <w:rFonts w:eastAsia="Times New Roman" w:cs="Times New Roman" w:ascii="Times New Roman" w:hAnsi="Times New Roman"/>
          <w:sz w:val="24"/>
          <w:szCs w:val="24"/>
        </w:rPr>
        <w:t xml:space="preserve">), several sets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 non-structural, sequence variation at primer sites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Except for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and AVR-Pii</w:t>
      </w:r>
      <w:r>
        <w:rPr>
          <w:rFonts w:eastAsia="Times New Roman" w:cs="Times New Roman" w:ascii="Times New Roman" w:hAnsi="Times New Roman"/>
          <w:sz w:val="24"/>
          <w:szCs w:val="24"/>
        </w:rPr>
        <w:t xml:space="preserve"> all</w:t>
      </w:r>
      <w:r>
        <w:rPr>
          <w:rFonts w:eastAsia="Times New Roman" w:cs="Times New Roman" w:ascii="Times New Roman" w:hAnsi="Times New Roman"/>
          <w:i/>
          <w:iCs/>
          <w:sz w:val="24"/>
          <w:szCs w:val="24"/>
        </w:rPr>
        <w:t xml:space="preserve"> AVR</w:t>
      </w:r>
      <w:r>
        <w:rPr>
          <w:rFonts w:eastAsia="Times New Roman" w:cs="Times New Roman" w:ascii="Times New Roman" w:hAnsi="Times New Roman"/>
          <w:sz w:val="24"/>
          <w:szCs w:val="24"/>
        </w:rPr>
        <w:t xml:space="preserve"> gene-specific primers were used for DNA sequencing of the entire open reading frame (ORF), plus 5’ and 3’ untranslated regions (UTR)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The polymerase chain reaction (PCR) products were purified by ExoSAP methods and Sanger sequenced at USDA-ARS Genomics and Bioinformatics Research Unit (Stoneville, Mississippi, U.S.).</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(GenBank accession number: AB498873.1) were designed using Primer-BLAST (Ye et al., 2012)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and specific fluorescence primers for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were designed by Zhang et al (Zhang et al., 2020,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for rapid detection. DNA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 xml:space="preserve"> was extracted following a protocol described by Jia et al (Jia et al., 2014) with modifications which follow. Briefly, a piece of filter paper containing blast mycelia was put in a 0.2 mL tube with 100 μL lysis buffer (100 mM Tris-HCl, 2 mM EDTA, pH 8.0). The sample was heated at 95 °C for 10 min and centrifuged at 3000 rpm for 1 min. The solution was then diluted 1:3 with Tris-EDTA (TE) buffer. PCR was conducted as described previously (Wang et al., 2017). Annealing temperatures used for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were 67 °C and 55 °C respectively.</w:t>
      </w:r>
    </w:p>
    <w:p>
      <w:pPr>
        <w:pStyle w:val="LOnormal"/>
        <w:spacing w:lineRule="auto" w:line="360" w:before="0" w:after="0"/>
        <w:rPr/>
      </w:pP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were detected in publicly available resequencing datasets (see “DNA sequence analysis” for further detail) using a primer sequence match counting approach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 xml:space="preserve">). The `locate` subcommand in seqkit v2.9.0 was used to count the instances of exact matches to each of the fast-detection primer pairs in the quality-trimmed fastq files. An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LOnormal"/>
        <w:spacing w:lineRule="auto" w:line="360" w:before="0" w:after="0"/>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detections were grouped by year and treated as a binomial response in a generalized linear model (details follow).</w:t>
      </w:r>
    </w:p>
    <w:p>
      <w:pPr>
        <w:pStyle w:val="LOnormal"/>
        <w:spacing w:lineRule="auto" w:line="360" w:before="0" w:after="0"/>
        <w:jc w:val="both"/>
        <w:rPr/>
      </w:pPr>
      <w:r>
        <w:rPr>
          <w:rFonts w:eastAsia="Times New Roman" w:cs="Times New Roman" w:ascii="Times New Roman" w:hAnsi="Times New Roman"/>
          <w:b/>
          <w:bCs/>
          <w:i/>
          <w:iCs/>
          <w:color w:val="000000"/>
          <w:sz w:val="24"/>
          <w:szCs w:val="24"/>
        </w:rPr>
        <w:t>AVR</w:t>
      </w:r>
      <w:r>
        <w:rPr>
          <w:rFonts w:eastAsia="Times New Roman" w:cs="Times New Roman" w:ascii="Times New Roman" w:hAnsi="Times New Roman"/>
          <w:b/>
          <w:bCs/>
          <w:color w:val="000000"/>
          <w:sz w:val="24"/>
          <w:szCs w:val="24"/>
        </w:rPr>
        <w:t xml:space="preserve"> and </w:t>
      </w:r>
      <w:r>
        <w:rPr>
          <w:rFonts w:eastAsia="Times New Roman" w:cs="Times New Roman" w:ascii="Times New Roman" w:hAnsi="Times New Roman"/>
          <w:b/>
          <w:bCs/>
          <w:i/>
          <w:iCs/>
          <w:color w:val="000000"/>
          <w:sz w:val="24"/>
          <w:szCs w:val="24"/>
        </w:rPr>
        <w:t xml:space="preserve">R </w:t>
      </w:r>
      <w:r>
        <w:rPr>
          <w:rFonts w:eastAsia="Times New Roman" w:cs="Times New Roman" w:ascii="Times New Roman" w:hAnsi="Times New Roman"/>
          <w:b/>
          <w:bCs/>
          <w:color w:val="000000"/>
          <w:sz w:val="24"/>
          <w:szCs w:val="24"/>
        </w:rPr>
        <w:t>gene frequency analyses</w:t>
      </w:r>
    </w:p>
    <w:p>
      <w:pPr>
        <w:pStyle w:val="LOnormal"/>
        <w:spacing w:lineRule="auto" w:line="360" w:before="0" w:after="0"/>
        <w:jc w:val="both"/>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b/>
          <w:bCs/>
          <w:sz w:val="24"/>
          <w:szCs w:val="24"/>
        </w:rPr>
        <w:t>Tables S3</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w:t>
      </w:r>
      <w:r>
        <w:rPr>
          <w:rFonts w:eastAsia="Times New Roman" w:cs="Times New Roman" w:ascii="Times New Roman" w:hAnsi="Times New Roman"/>
          <w:b/>
          <w:bCs/>
          <w:color w:val="000000"/>
          <w:sz w:val="24"/>
          <w:szCs w:val="24"/>
        </w:rPr>
        <w:t>Dat</w:t>
      </w:r>
      <w:r>
        <w:rPr>
          <w:rFonts w:eastAsia="Times New Roman" w:cs="Times New Roman" w:ascii="Times New Roman" w:hAnsi="Times New Roman"/>
          <w:b/>
          <w:bCs/>
          <w:sz w:val="24"/>
          <w:szCs w:val="24"/>
        </w:rPr>
        <w:t>aset S3</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Varieties not listed in a particular year for a state were set to zero acres. For LA, MS, and TX, acreages of each rice variety were copied forward from 1976 to 1977-1981 and copied backward from 1990 to 1985-1989. Then, the `approx` function, which uses linear interpolation, in R v4.4.3 was used for linear interpolation for all years having missing acreage.</w:t>
      </w:r>
    </w:p>
    <w:p>
      <w:pPr>
        <w:pStyle w:val="LOnormal"/>
        <w:spacing w:lineRule="auto" w:line="360" w:before="0" w:after="0"/>
        <w:jc w:val="both"/>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LOnormal"/>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e>
              </m:nary>
            </m:num>
            <m:den/>
          </m:f>
        </m:oMath>
      </m:oMathPara>
    </w:p>
    <w:p>
      <w:pPr>
        <w:pStyle w:val="LOnormal"/>
        <w:spacing w:lineRule="auto" w:line="360"/>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iCs/>
          <w:color w:val="000000"/>
          <w:sz w:val="24"/>
          <w:szCs w:val="24"/>
        </w:rPr>
        <w:t>P(R</w:t>
      </w:r>
      <w:r>
        <w:rPr>
          <w:rFonts w:eastAsia="Times New Roman" w:cs="Times New Roman" w:ascii="Times New Roman" w:hAnsi="Times New Roman"/>
          <w:i/>
          <w:iCs/>
          <w:color w:val="000000"/>
          <w:sz w:val="24"/>
          <w:szCs w:val="24"/>
          <w:vertAlign w:val="subscript"/>
        </w:rPr>
        <w:t>j</w:t>
      </w:r>
      <w:r>
        <w:rPr>
          <w:rFonts w:eastAsia="Times New Roman" w:cs="Times New Roman" w:ascii="Times New Roman" w:hAnsi="Times New Roman"/>
          <w:i/>
          <w:iCs/>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iCs/>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iCs/>
          <w:color w:val="000000"/>
          <w:sz w:val="24"/>
          <w:szCs w:val="24"/>
        </w:rPr>
        <w:t>I</w:t>
      </w:r>
      <w:r>
        <w:rPr>
          <w:rFonts w:eastAsia="Times New Roman" w:cs="Times New Roman" w:ascii="Times New Roman" w:hAnsi="Times New Roman"/>
          <w:i/>
          <w:iCs/>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iCs/>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iCs/>
          <w:color w:val="000000"/>
          <w:sz w:val="24"/>
          <w:szCs w:val="24"/>
        </w:rPr>
        <w:t>I</w:t>
      </w:r>
      <w:r>
        <w:rPr>
          <w:rFonts w:eastAsia="Times New Roman" w:cs="Times New Roman" w:ascii="Times New Roman" w:hAnsi="Times New Roman"/>
          <w:i/>
          <w:iCs/>
          <w:color w:val="000000"/>
          <w:sz w:val="24"/>
          <w:szCs w:val="24"/>
          <w:vertAlign w:val="subscript"/>
        </w:rPr>
        <w:t>Sj</w:t>
      </w: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iCs/>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iCs/>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iCs/>
          <w:color w:val="000000"/>
          <w:sz w:val="24"/>
          <w:szCs w:val="24"/>
        </w:rPr>
        <w:t>R</w:t>
      </w:r>
      <w:r>
        <w:rPr>
          <w:rFonts w:eastAsia="Times New Roman" w:cs="Times New Roman" w:ascii="Times New Roman" w:hAnsi="Times New Roman"/>
          <w:color w:val="000000"/>
          <w:sz w:val="24"/>
          <w:szCs w:val="24"/>
        </w:rPr>
        <w:t xml:space="preserve"> gene status were entirely excluded (i.e, did not contribute to the denominator) from this analysis.</w:t>
      </w:r>
    </w:p>
    <w:p>
      <w:pPr>
        <w:pStyle w:val="LOnormal"/>
        <w:spacing w:lineRule="auto" w:line="360"/>
        <w:rPr/>
      </w:pPr>
      <w:r>
        <w:rPr>
          <w:rFonts w:eastAsia="Times New Roman" w:cs="Times New Roman" w:ascii="Times New Roman" w:hAnsi="Times New Roman"/>
          <w:sz w:val="24"/>
          <w:szCs w:val="24"/>
        </w:rPr>
        <w:t xml:space="preserve">We hypothesized that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to determine which continuous time interval in prior years to use to predict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iCs/>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iCs/>
          <w:sz w:val="24"/>
          <w:szCs w:val="24"/>
        </w:rPr>
        <w:t>U</w:t>
      </w:r>
      <w:r>
        <w:rPr>
          <w:rFonts w:eastAsia="Times New Roman" w:cs="Times New Roman" w:ascii="Times New Roman" w:hAnsi="Times New Roman"/>
          <w:sz w:val="24"/>
          <w:szCs w:val="24"/>
        </w:rPr>
        <w:t xml:space="preserve"> years before the current year. For instance, if N=5 and U=3 and the focal year was 2000, then the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 frequencies for 1995, 1996, and 1997 were averaged to form the new predictor. The lagged time series that had the lowest </w:t>
      </w:r>
      <w:r>
        <w:rPr>
          <w:rFonts w:eastAsia="Times New Roman" w:cs="Times New Roman" w:ascii="Times New Roman" w:hAnsi="Times New Roman"/>
          <w:i/>
          <w:iCs/>
          <w:sz w:val="24"/>
          <w:szCs w:val="24"/>
        </w:rPr>
        <w:t>p</w:t>
      </w:r>
      <w:r>
        <w:rPr>
          <w:rFonts w:eastAsia="Times New Roman" w:cs="Times New Roman" w:ascii="Times New Roman" w:hAnsi="Times New Roman"/>
          <w:sz w:val="24"/>
          <w:szCs w:val="24"/>
        </w:rPr>
        <w:t>-value for the linear term in the following generalized linear mixed model was selected for the next stage of modeling :</w:t>
      </w:r>
    </w:p>
    <w:p>
      <w:pPr>
        <w:pStyle w:val="LOnormal"/>
        <w:jc w:val="center"/>
        <w:rPr/>
      </w:pPr>
      <w:r>
        <w:rPr/>
      </w:r>
      <m:oMathPara xmlns:m="http://schemas.openxmlformats.org/officeDocument/2006/math">
        <m:oMathParaPr>
          <m:jc m:val="center"/>
        </m:oMathParaPr>
        <m:oMath>
          <m:r>
            <w:rPr>
              <w:rFonts w:ascii="Cambria Math" w:hAnsi="Cambria Math"/>
            </w:rPr>
            <m:t xml:space="preserve">logit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LOnormal"/>
        <w:spacing w:lineRule="auto" w:line="360" w:before="240" w:after="240"/>
        <w:rPr/>
      </w:pPr>
      <w:r>
        <w:rPr>
          <w:rFonts w:eastAsia="Times New Roman" w:cs="Times New Roman" w:ascii="Times New Roman" w:hAnsi="Times New Roman"/>
          <w:sz w:val="24"/>
          <w:szCs w:val="24"/>
        </w:rPr>
        <w:t xml:space="preserve">Where the response is the log-odds of the proportion of samples containing a given AVR gene </w:t>
      </w:r>
      <w:r>
        <w:rPr>
          <w:rFonts w:eastAsia="Times New Roman" w:cs="Times New Roman" w:ascii="Times New Roman" w:hAnsi="Times New Roman"/>
          <w:i/>
          <w:iCs/>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iCs/>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iCs/>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iCs/>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iCs/>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-gene present. </w:t>
      </w:r>
    </w:p>
    <w:p>
      <w:pPr>
        <w:pStyle w:val="LOnormal"/>
        <w:spacing w:lineRule="auto" w:line="360" w:before="240" w:after="240"/>
        <w:rPr/>
      </w:pPr>
      <w:r>
        <w:rPr>
          <w:rFonts w:eastAsia="Times New Roman" w:cs="Times New Roman" w:ascii="Times New Roman" w:hAnsi="Times New Roman"/>
          <w:sz w:val="24"/>
          <w:szCs w:val="24"/>
        </w:rPr>
        <w:t xml:space="preserve">The model was fit using the R package glmmTMB v1.1.11.9000 (Brooks et al, 2017). Model predictions for changes in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frequency were made using the `predict` function, and visualized on the response (proportion, not log-odds) scale. For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iCs/>
          <w:sz w:val="24"/>
          <w:szCs w:val="24"/>
        </w:rPr>
        <w:t>Pi-km.</w:t>
      </w:r>
    </w:p>
    <w:p>
      <w:pPr>
        <w:pStyle w:val="LOnormal"/>
        <w:spacing w:lineRule="auto" w:line="360"/>
        <w:rPr/>
      </w:pPr>
      <w:r>
        <w:rPr>
          <w:rFonts w:eastAsia="Times New Roman" w:cs="Times New Roman" w:ascii="Times New Roman" w:hAnsi="Times New Roman"/>
          <w:b/>
          <w:bCs/>
          <w:sz w:val="24"/>
          <w:szCs w:val="24"/>
        </w:rPr>
        <w:t xml:space="preserve">DNA sequence analysis </w:t>
      </w:r>
    </w:p>
    <w:p>
      <w:pPr>
        <w:pStyle w:val="LOnormal"/>
        <w:spacing w:lineRule="auto" w:line="360" w:before="240" w:after="240"/>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iCs/>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iCs/>
          <w:sz w:val="24"/>
          <w:szCs w:val="24"/>
        </w:rPr>
        <w:t>P. oryzae</w:t>
      </w:r>
      <w:r>
        <w:rPr>
          <w:rFonts w:eastAsia="Times New Roman" w:cs="Times New Roman" w:ascii="Times New Roman" w:hAnsi="Times New Roman"/>
          <w:sz w:val="24"/>
          <w:szCs w:val="24"/>
        </w:rPr>
        <w:t>)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to generate joint reference and variant calls at every reference genome position for all resequencing libraries.</w:t>
      </w:r>
    </w:p>
    <w:p>
      <w:pPr>
        <w:pStyle w:val="LOnormal"/>
        <w:spacing w:lineRule="auto" w:line="360" w:before="240" w:after="240"/>
        <w:rPr/>
      </w:pPr>
      <w:r>
        <w:rPr>
          <w:rFonts w:eastAsia="Times New Roman" w:cs="Times New Roman" w:ascii="Times New Roman" w:hAnsi="Times New Roman"/>
          <w:sz w:val="24"/>
          <w:szCs w:val="24"/>
        </w:rPr>
        <w:t xml:space="preserve">The read alignment (binary alignment map; BAM) files were re-used for separate variant calling only in the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 xml:space="preserve">AVR-Pik </w:t>
      </w:r>
      <w:r>
        <w:rPr>
          <w:rFonts w:eastAsia="Times New Roman" w:cs="Times New Roman" w:ascii="Times New Roman" w:hAnsi="Times New Roman"/>
          <w:sz w:val="24"/>
          <w:szCs w:val="24"/>
        </w:rPr>
        <w:t>gene regions.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described below.</w:t>
      </w:r>
    </w:p>
    <w:p>
      <w:pPr>
        <w:pStyle w:val="LOnormal"/>
        <w:spacing w:lineRule="auto" w:line="360" w:before="240" w:after="240"/>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had 289 global and 151 U.S. sequences (</w:t>
      </w:r>
      <w:r>
        <w:rPr>
          <w:rFonts w:eastAsia="Times New Roman" w:cs="Times New Roman" w:ascii="Times New Roman" w:hAnsi="Times New Roman"/>
          <w:b/>
          <w:bCs/>
          <w:sz w:val="24"/>
          <w:szCs w:val="24"/>
        </w:rPr>
        <w:t xml:space="preserve">Datasets S4 </w:t>
      </w:r>
      <w:r>
        <w:rPr>
          <w:rFonts w:eastAsia="Times New Roman" w:cs="Times New Roman" w:ascii="Times New Roman" w:hAnsi="Times New Roman"/>
          <w:sz w:val="24"/>
          <w:szCs w:val="24"/>
        </w:rPr>
        <w:t xml:space="preserve">and </w:t>
      </w:r>
      <w:r>
        <w:rPr>
          <w:rFonts w:eastAsia="Times New Roman" w:cs="Times New Roman" w:ascii="Times New Roman" w:hAnsi="Times New Roman"/>
          <w:b/>
          <w:bCs/>
          <w:sz w:val="24"/>
          <w:szCs w:val="24"/>
        </w:rPr>
        <w:t>S5</w:t>
      </w:r>
      <w:r>
        <w:rPr>
          <w:rFonts w:eastAsia="Times New Roman" w:cs="Times New Roman" w:ascii="Times New Roman" w:hAnsi="Times New Roman"/>
          <w:sz w:val="24"/>
          <w:szCs w:val="24"/>
        </w:rPr>
        <w:t xml:space="preserve">). </w:t>
      </w:r>
    </w:p>
    <w:p>
      <w:pPr>
        <w:pStyle w:val="LOnormal"/>
        <w:spacing w:lineRule="auto" w:line="360" w:before="240" w:after="240"/>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LOnormal"/>
        <w:spacing w:lineRule="auto" w:line="360" w:before="240" w:after="240"/>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LOnormal"/>
        <w:spacing w:lineRule="auto" w:line="360" w:before="240" w:after="240"/>
        <w:rPr/>
      </w:pPr>
      <w:r>
        <w:rPr>
          <w:rFonts w:eastAsia="Times New Roman" w:cs="Times New Roman" w:ascii="Times New Roman" w:hAnsi="Times New Roman"/>
          <w:sz w:val="24"/>
          <w:szCs w:val="24"/>
        </w:rPr>
        <w:t xml:space="preserve">To further integrate the U.S. collection here with publicly available resequencing libraries, we attempted to call SSR genotypes using the same approach as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However, we were unable to align the SSR band lengths to those acquired in this study. The results are still included for completeness in the supplement but they will not be discussed due to the difficulty in interpreting the results (</w:t>
      </w:r>
      <w:r>
        <w:rPr>
          <w:rFonts w:eastAsia="Times New Roman" w:cs="Times New Roman" w:ascii="Times New Roman" w:hAnsi="Times New Roman"/>
          <w:b/>
          <w:bCs/>
          <w:sz w:val="24"/>
          <w:szCs w:val="24"/>
        </w:rPr>
        <w:t>Dataset S7</w:t>
      </w:r>
      <w:r>
        <w:rPr>
          <w:rFonts w:eastAsia="Times New Roman" w:cs="Times New Roman" w:ascii="Times New Roman" w:hAnsi="Times New Roman"/>
          <w:sz w:val="24"/>
          <w:szCs w:val="24"/>
        </w:rPr>
        <w:t>).</w:t>
      </w:r>
    </w:p>
    <w:p>
      <w:pPr>
        <w:pStyle w:val="LOnormal"/>
        <w:spacing w:lineRule="auto" w:line="360"/>
        <w:jc w:val="both"/>
        <w:rPr/>
      </w:pPr>
      <w:r>
        <w:rPr>
          <w:rFonts w:eastAsia="Times New Roman" w:cs="Times New Roman" w:ascii="Times New Roman" w:hAnsi="Times New Roman"/>
          <w:b/>
          <w:bCs/>
          <w:sz w:val="24"/>
          <w:szCs w:val="24"/>
        </w:rPr>
        <w:t>Results</w:t>
      </w:r>
    </w:p>
    <w:p>
      <w:pPr>
        <w:pStyle w:val="LOnormal"/>
        <w:spacing w:lineRule="auto" w:line="360"/>
        <w:jc w:val="both"/>
        <w:rPr/>
      </w:pPr>
      <w:r>
        <w:rPr>
          <w:rFonts w:eastAsia="Times New Roman" w:cs="Times New Roman" w:ascii="Times New Roman" w:hAnsi="Times New Roman"/>
          <w:b/>
          <w:bCs/>
          <w:i/>
          <w:iCs/>
          <w:sz w:val="24"/>
          <w:szCs w:val="24"/>
        </w:rPr>
        <w:t>AVR</w:t>
      </w:r>
      <w:r>
        <w:rPr>
          <w:rFonts w:eastAsia="Times New Roman" w:cs="Times New Roman" w:ascii="Times New Roman" w:hAnsi="Times New Roman"/>
          <w:b/>
          <w:bCs/>
          <w:sz w:val="24"/>
          <w:szCs w:val="24"/>
        </w:rPr>
        <w:t xml:space="preserve"> genes in the U.S. and Global </w:t>
      </w:r>
      <w:r>
        <w:rPr>
          <w:rFonts w:eastAsia="Times New Roman" w:cs="Times New Roman" w:ascii="Times New Roman" w:hAnsi="Times New Roman"/>
          <w:b/>
          <w:bCs/>
          <w:i/>
          <w:iCs/>
          <w:sz w:val="24"/>
          <w:szCs w:val="24"/>
        </w:rPr>
        <w:t>Mo</w:t>
      </w:r>
      <w:r>
        <w:rPr>
          <w:rFonts w:eastAsia="Times New Roman" w:cs="Times New Roman" w:ascii="Times New Roman" w:hAnsi="Times New Roman"/>
          <w:b/>
          <w:bCs/>
          <w:sz w:val="24"/>
          <w:szCs w:val="24"/>
        </w:rPr>
        <w:t xml:space="preserve"> population over six decades, and population structure of the U.S. population</w:t>
      </w:r>
    </w:p>
    <w:p>
      <w:pPr>
        <w:pStyle w:val="LOnormal"/>
        <w:spacing w:lineRule="auto" w:line="360"/>
        <w:jc w:val="both"/>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gene-specific primers (</w:t>
      </w:r>
      <w:r>
        <w:rPr>
          <w:rFonts w:eastAsia="Times New Roman" w:cs="Times New Roman" w:ascii="Times New Roman" w:hAnsi="Times New Roman"/>
          <w:b/>
          <w:bCs/>
          <w:sz w:val="24"/>
          <w:szCs w:val="24"/>
        </w:rPr>
        <w:t>Tables S1</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S2</w:t>
      </w:r>
      <w:r>
        <w:rPr>
          <w:rFonts w:eastAsia="Times New Roman" w:cs="Times New Roman" w:ascii="Times New Roman" w:hAnsi="Times New Roman"/>
          <w:sz w:val="24"/>
          <w:szCs w:val="24"/>
        </w:rPr>
        <w:t>) and using a sequence-counting approach for publicly available resequencing datasets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w:t>
      </w:r>
    </w:p>
    <w:p>
      <w:pPr>
        <w:pStyle w:val="LOnormal"/>
        <w:spacing w:lineRule="auto" w:line="360"/>
        <w:jc w:val="both"/>
        <w:rPr/>
      </w:pPr>
      <w:r>
        <w:rPr>
          <w:rFonts w:eastAsia="Times New Roman" w:cs="Times New Roman" w:ascii="Times New Roman" w:hAnsi="Times New Roman"/>
          <w:sz w:val="24"/>
          <w:szCs w:val="24"/>
        </w:rPr>
        <w:t>Analysis of eight putatively neutral SSR markers with Discriminant Analysis of Principal Components (DAPC) revealed 5 primary subpopulations in the U.S (</w:t>
      </w:r>
      <w:r>
        <w:rPr>
          <w:rFonts w:eastAsia="Times New Roman" w:cs="Times New Roman" w:ascii="Times New Roman" w:hAnsi="Times New Roman"/>
          <w:b/>
          <w:bCs/>
          <w:sz w:val="24"/>
          <w:szCs w:val="24"/>
        </w:rPr>
        <w:t>Figure 1</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We attempted to include the Global samples by deriving expected SSR band sizes by indels calls from short reads, but we found it extremely difficult to match band sizes, so they were not included in this analysis. There was no clear correspondence between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gain and loss are not co-occurring purely within clonal lineages (</w:t>
      </w:r>
      <w:r>
        <w:rPr>
          <w:rFonts w:eastAsia="Times New Roman" w:cs="Times New Roman" w:ascii="Times New Roman" w:hAnsi="Times New Roman"/>
          <w:b/>
          <w:bCs/>
          <w:sz w:val="24"/>
          <w:szCs w:val="24"/>
        </w:rPr>
        <w:t>Figure 1</w:t>
      </w:r>
      <w:r>
        <w:rPr>
          <w:rFonts w:eastAsia="Times New Roman" w:cs="Times New Roman" w:ascii="Times New Roman" w:hAnsi="Times New Roman"/>
          <w:sz w:val="24"/>
          <w:szCs w:val="24"/>
        </w:rPr>
        <w:t>).</w:t>
      </w:r>
    </w:p>
    <w:p>
      <w:pPr>
        <w:pStyle w:val="LOnormal"/>
        <w:spacing w:lineRule="auto" w:line="360"/>
        <w:jc w:val="both"/>
        <w:rPr/>
      </w:pPr>
      <w:bookmarkStart w:id="8" w:name="_65970p6i4ui1"/>
      <w:bookmarkEnd w:id="8"/>
      <w:r>
        <w:rPr>
          <w:rFonts w:eastAsia="Times New Roman" w:cs="Times New Roman" w:ascii="Times New Roman" w:hAnsi="Times New Roman"/>
          <w:sz w:val="24"/>
          <w:szCs w:val="24"/>
        </w:rPr>
        <w:t xml:space="preserve">In the Global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samples (</w:t>
      </w:r>
      <w:r>
        <w:rPr>
          <w:rFonts w:eastAsia="Times New Roman" w:cs="Times New Roman" w:ascii="Times New Roman" w:hAnsi="Times New Roman"/>
          <w:b/>
          <w:bCs/>
          <w:sz w:val="24"/>
          <w:szCs w:val="24"/>
        </w:rPr>
        <w:t>Figures 2</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iCs/>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iCs/>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iCs/>
          <w:sz w:val="24"/>
          <w:szCs w:val="24"/>
        </w:rPr>
        <w:t xml:space="preserve">AVR-Pii </w:t>
      </w:r>
      <w:r>
        <w:rPr>
          <w:rFonts w:eastAsia="Times New Roman" w:cs="Times New Roman" w:ascii="Times New Roman" w:hAnsi="Times New Roman"/>
          <w:sz w:val="24"/>
          <w:szCs w:val="24"/>
        </w:rPr>
        <w:t xml:space="preserve">started close to 50% prevalent and has disappeared almost entirely.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has experienced a slow decline of around 5% per decade, now (as of 2020) around 50% prevalence globally. </w:t>
      </w:r>
      <w:r>
        <w:rPr>
          <w:rFonts w:eastAsia="Times New Roman" w:cs="Times New Roman" w:ascii="Times New Roman" w:hAnsi="Times New Roman"/>
          <w:i/>
          <w:iCs/>
          <w:color w:val="000000"/>
          <w:sz w:val="24"/>
          <w:szCs w:val="24"/>
        </w:rPr>
        <w:t>AVR-Pi9</w:t>
      </w:r>
      <w:r>
        <w:rPr>
          <w:rFonts w:eastAsia="Times New Roman" w:cs="Times New Roman" w:ascii="Times New Roman" w:hAnsi="Times New Roman"/>
          <w:color w:val="000000"/>
          <w:sz w:val="24"/>
          <w:szCs w:val="24"/>
        </w:rPr>
        <w:t xml:space="preserve"> increased from in the early 1980s, dipped slightly to 75% in the late 2010s, and is now close to 100% prevalence again, and</w:t>
      </w:r>
      <w:r>
        <w:rPr>
          <w:rFonts w:eastAsia="Times New Roman" w:cs="Times New Roman" w:ascii="Times New Roman" w:hAnsi="Times New Roman"/>
          <w:i/>
          <w:iCs/>
          <w:color w:val="000000"/>
          <w:sz w:val="24"/>
          <w:szCs w:val="24"/>
        </w:rPr>
        <w:t xml:space="preserve"> AVR-Pib</w:t>
      </w:r>
      <w:r>
        <w:rPr>
          <w:rFonts w:eastAsia="Times New Roman" w:cs="Times New Roman" w:ascii="Times New Roman" w:hAnsi="Times New Roman"/>
          <w:color w:val="000000"/>
          <w:sz w:val="24"/>
          <w:szCs w:val="24"/>
        </w:rPr>
        <w:t xml:space="preserve"> has remained around 75% prevalence</w:t>
      </w: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color w:val="000000"/>
          <w:sz w:val="24"/>
          <w:szCs w:val="24"/>
        </w:rPr>
        <w:t>(</w:t>
      </w:r>
      <w:r>
        <w:rPr>
          <w:rFonts w:eastAsia="Times New Roman" w:cs="Times New Roman" w:ascii="Times New Roman" w:hAnsi="Times New Roman"/>
          <w:b/>
          <w:bCs/>
          <w:color w:val="000000"/>
          <w:sz w:val="24"/>
          <w:szCs w:val="24"/>
        </w:rPr>
        <w:t>Figure S1</w:t>
      </w:r>
      <w:r>
        <w:rPr>
          <w:rFonts w:eastAsia="Times New Roman" w:cs="Times New Roman" w:ascii="Times New Roman" w:hAnsi="Times New Roman"/>
          <w:i/>
          <w:iCs/>
          <w:color w:val="000000"/>
          <w:sz w:val="24"/>
          <w:szCs w:val="24"/>
        </w:rPr>
        <w:t>A</w:t>
      </w:r>
      <w:r>
        <w:rPr>
          <w:rFonts w:eastAsia="Times New Roman" w:cs="Times New Roman" w:ascii="Times New Roman" w:hAnsi="Times New Roman"/>
          <w:color w:val="000000"/>
          <w:sz w:val="24"/>
          <w:szCs w:val="24"/>
        </w:rPr>
        <w:t>).</w:t>
      </w:r>
    </w:p>
    <w:p>
      <w:pPr>
        <w:pStyle w:val="LOnormal"/>
        <w:spacing w:lineRule="auto" w:line="360"/>
        <w:jc w:val="both"/>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iCs/>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iCs/>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iCs/>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showed essentially no change in the global population.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has remained highly prevalent in the U.S. since sampling began, unlike in the World where it has generally trended upward (</w:t>
      </w:r>
      <w:r>
        <w:rPr>
          <w:rFonts w:eastAsia="Times New Roman" w:cs="Times New Roman" w:ascii="Times New Roman" w:hAnsi="Times New Roman"/>
          <w:b/>
          <w:bCs/>
          <w:sz w:val="24"/>
          <w:szCs w:val="24"/>
        </w:rPr>
        <w:t>Figure S1</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The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 has not been deployed in the U.S., which could explain the different trend for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w:t>
      </w:r>
    </w:p>
    <w:p>
      <w:pPr>
        <w:pStyle w:val="LOnormal"/>
        <w:spacing w:lineRule="auto" w:line="360"/>
        <w:jc w:val="both"/>
        <w:rPr/>
      </w:pPr>
      <w:r>
        <w:rPr>
          <w:rFonts w:eastAsia="Times New Roman" w:cs="Times New Roman" w:ascii="Times New Roman" w:hAnsi="Times New Roman"/>
          <w:b/>
          <w:bCs/>
          <w:sz w:val="24"/>
          <w:szCs w:val="24"/>
        </w:rPr>
        <w:t xml:space="preserve">Correspondence of deployed </w:t>
      </w:r>
      <w:r>
        <w:rPr>
          <w:rFonts w:eastAsia="Times New Roman" w:cs="Times New Roman" w:ascii="Times New Roman" w:hAnsi="Times New Roman"/>
          <w:b/>
          <w:bCs/>
          <w:i/>
          <w:iCs/>
          <w:sz w:val="24"/>
          <w:szCs w:val="24"/>
        </w:rPr>
        <w:t>Pi-ta</w:t>
      </w:r>
      <w:r>
        <w:rPr>
          <w:rFonts w:eastAsia="Times New Roman" w:cs="Times New Roman" w:ascii="Times New Roman" w:hAnsi="Times New Roman"/>
          <w:b/>
          <w:bCs/>
          <w:sz w:val="24"/>
          <w:szCs w:val="24"/>
        </w:rPr>
        <w:t xml:space="preserve"> and </w:t>
      </w:r>
      <w:r>
        <w:rPr>
          <w:rFonts w:eastAsia="Times New Roman" w:cs="Times New Roman" w:ascii="Times New Roman" w:hAnsi="Times New Roman"/>
          <w:b/>
          <w:bCs/>
          <w:i/>
          <w:iCs/>
          <w:sz w:val="24"/>
          <w:szCs w:val="24"/>
        </w:rPr>
        <w:t xml:space="preserve">Pi-km/Pi-ks </w:t>
      </w:r>
      <w:r>
        <w:rPr>
          <w:rFonts w:eastAsia="Times New Roman" w:cs="Times New Roman" w:ascii="Times New Roman" w:hAnsi="Times New Roman"/>
          <w:b/>
          <w:bCs/>
          <w:sz w:val="24"/>
          <w:szCs w:val="24"/>
        </w:rPr>
        <w:t>(</w:t>
      </w:r>
      <w:r>
        <w:rPr>
          <w:rFonts w:eastAsia="Times New Roman" w:cs="Times New Roman" w:ascii="Times New Roman" w:hAnsi="Times New Roman"/>
          <w:b/>
          <w:bCs/>
          <w:i/>
          <w:iCs/>
          <w:sz w:val="24"/>
          <w:szCs w:val="24"/>
        </w:rPr>
        <w:t>Pi-k#</w:t>
      </w:r>
      <w:r>
        <w:rPr>
          <w:rFonts w:eastAsia="Times New Roman" w:cs="Times New Roman" w:ascii="Times New Roman" w:hAnsi="Times New Roman"/>
          <w:b/>
          <w:bCs/>
          <w:sz w:val="24"/>
          <w:szCs w:val="24"/>
        </w:rPr>
        <w:t xml:space="preserve">) with P/A of </w:t>
      </w:r>
      <w:r>
        <w:rPr>
          <w:rFonts w:eastAsia="Times New Roman" w:cs="Times New Roman" w:ascii="Times New Roman" w:hAnsi="Times New Roman"/>
          <w:b/>
          <w:bCs/>
          <w:i/>
          <w:iCs/>
          <w:sz w:val="24"/>
          <w:szCs w:val="24"/>
        </w:rPr>
        <w:t>AVR-Pita</w:t>
      </w:r>
      <w:r>
        <w:rPr>
          <w:rFonts w:eastAsia="Times New Roman" w:cs="Times New Roman" w:ascii="Times New Roman" w:hAnsi="Times New Roman"/>
          <w:b/>
          <w:bCs/>
          <w:sz w:val="24"/>
          <w:szCs w:val="24"/>
        </w:rPr>
        <w:t xml:space="preserve"> and </w:t>
      </w:r>
      <w:r>
        <w:rPr>
          <w:rFonts w:eastAsia="Times New Roman" w:cs="Times New Roman" w:ascii="Times New Roman" w:hAnsi="Times New Roman"/>
          <w:b/>
          <w:bCs/>
          <w:i/>
          <w:iCs/>
          <w:sz w:val="24"/>
          <w:szCs w:val="24"/>
        </w:rPr>
        <w:t>AVR-Pik</w:t>
      </w:r>
      <w:r>
        <w:rPr>
          <w:rFonts w:eastAsia="Times New Roman" w:cs="Times New Roman" w:ascii="Times New Roman" w:hAnsi="Times New Roman"/>
          <w:b/>
          <w:bCs/>
          <w:sz w:val="24"/>
          <w:szCs w:val="24"/>
        </w:rPr>
        <w:t xml:space="preserve"> </w:t>
      </w:r>
    </w:p>
    <w:p>
      <w:pPr>
        <w:pStyle w:val="LOnormal"/>
        <w:spacing w:lineRule="auto" w:line="360"/>
        <w:jc w:val="both"/>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iCs/>
          <w:sz w:val="24"/>
          <w:szCs w:val="24"/>
        </w:rPr>
        <w:t xml:space="preserve"> R</w:t>
      </w:r>
      <w:r>
        <w:rPr>
          <w:rFonts w:eastAsia="Times New Roman" w:cs="Times New Roman" w:ascii="Times New Roman" w:hAnsi="Times New Roman"/>
          <w:sz w:val="24"/>
          <w:szCs w:val="24"/>
        </w:rPr>
        <w:t xml:space="preserve"> genes in the Southern U.S. since 1960 (</w:t>
      </w:r>
      <w:r>
        <w:rPr>
          <w:rFonts w:eastAsia="Times New Roman" w:cs="Times New Roman" w:ascii="Times New Roman" w:hAnsi="Times New Roman"/>
          <w:b/>
          <w:bCs/>
          <w:sz w:val="24"/>
          <w:szCs w:val="24"/>
        </w:rPr>
        <w:t>Figures 2</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Datasets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S3</w:t>
      </w:r>
      <w:r>
        <w:rPr>
          <w:rFonts w:eastAsia="Times New Roman" w:cs="Times New Roman" w:ascii="Times New Roman" w:hAnsi="Times New Roman"/>
          <w:sz w:val="24"/>
          <w:szCs w:val="24"/>
        </w:rPr>
        <w:t>).</w:t>
      </w:r>
    </w:p>
    <w:p>
      <w:pPr>
        <w:pStyle w:val="LOnormal"/>
        <w:spacing w:lineRule="auto" w:line="360"/>
        <w:jc w:val="both"/>
        <w:rPr/>
      </w:pPr>
      <w:r>
        <w:rPr>
          <w:rFonts w:eastAsia="Times New Roman" w:cs="Times New Roman" w:ascii="Times New Roman" w:hAnsi="Times New Roman"/>
          <w:sz w:val="24"/>
          <w:szCs w:val="24"/>
        </w:rPr>
        <w:t xml:space="preserve">The frequency of rice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in the U.S. rice fields increased since the late 1980s, reached a peak in the late 1990s, and then it decreased until there was almost no deployment in the late 2000s (</w:t>
      </w:r>
      <w:r>
        <w:rPr>
          <w:rFonts w:eastAsia="Times New Roman" w:cs="Times New Roman" w:ascii="Times New Roman" w:hAnsi="Times New Roman"/>
          <w:b/>
          <w:bCs/>
          <w:sz w:val="24"/>
          <w:szCs w:val="24"/>
        </w:rPr>
        <w:t>Figure 2C</w:t>
      </w:r>
      <w:r>
        <w:rPr>
          <w:rFonts w:eastAsia="Times New Roman" w:cs="Times New Roman" w:ascii="Times New Roman" w:hAnsi="Times New Roman"/>
          <w:sz w:val="24"/>
          <w:szCs w:val="24"/>
        </w:rPr>
        <w:t xml:space="preserve">). After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containing varieties were deployed, the frequency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iCs/>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and/or with more AVR-Pita1 protein variants differing in a few amino acids sequentially after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decreased to the lowest point in the early 2000s. Overall, the subsequent increased frequency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reached its highest peak. Based on modeling of the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response to changes in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frequencies, a background prevalence of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~80% is expected to be reduced to &lt;10% at 50%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frequency, indicating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is highly sensitive to the potent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resistance gene (</w:t>
      </w:r>
      <w:r>
        <w:rPr>
          <w:rFonts w:eastAsia="Times New Roman" w:cs="Times New Roman" w:ascii="Times New Roman" w:hAnsi="Times New Roman"/>
          <w:b/>
          <w:bCs/>
          <w:sz w:val="24"/>
          <w:szCs w:val="24"/>
        </w:rPr>
        <w:t>Figure 2</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w:t>
      </w:r>
    </w:p>
    <w:p>
      <w:pPr>
        <w:pStyle w:val="LOnormal"/>
        <w:spacing w:lineRule="auto" w:line="360"/>
        <w:jc w:val="both"/>
        <w:rPr/>
      </w:pPr>
      <w:r>
        <w:rPr>
          <w:rFonts w:eastAsia="Times New Roman" w:cs="Times New Roman" w:ascii="Times New Roman" w:hAnsi="Times New Roman"/>
          <w:sz w:val="24"/>
          <w:szCs w:val="24"/>
        </w:rPr>
        <w:t xml:space="preserve">Many rice varieties grown in the U.S. since 1960 carry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and since 1965 they carry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Table S3</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The maximal deployment of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m occurred in the 1980s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Table S3</w:t>
      </w:r>
      <w:r>
        <w:rPr>
          <w:rFonts w:eastAsia="Times New Roman" w:cs="Times New Roman" w:ascii="Times New Roman" w:hAnsi="Times New Roman"/>
          <w:sz w:val="24"/>
          <w:szCs w:val="24"/>
        </w:rPr>
        <w:t xml:space="preserve">). There was a rapid loss of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about half a decade after </w:t>
      </w:r>
      <w:r>
        <w:rPr>
          <w:rFonts w:eastAsia="Times New Roman" w:cs="Times New Roman" w:ascii="Times New Roman" w:hAnsi="Times New Roman"/>
          <w:i/>
          <w:iCs/>
          <w:sz w:val="24"/>
          <w:szCs w:val="24"/>
        </w:rPr>
        <w:t xml:space="preserve">Pi-km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were heavily deployed. Further analysis showed that the prevalence of </w:t>
      </w:r>
      <w:r>
        <w:rPr>
          <w:rFonts w:eastAsia="Times New Roman" w:cs="Times New Roman" w:ascii="Times New Roman" w:hAnsi="Times New Roman"/>
          <w:i/>
          <w:iCs/>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 xml:space="preserve">). Although the impact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on</w:t>
      </w:r>
      <w:r>
        <w:rPr>
          <w:rFonts w:eastAsia="Times New Roman" w:cs="Times New Roman" w:ascii="Times New Roman" w:hAnsi="Times New Roman"/>
          <w:i/>
          <w:iCs/>
          <w:sz w:val="24"/>
          <w:szCs w:val="24"/>
        </w:rPr>
        <w:t xml:space="preserve"> AVR-Pik</w:t>
      </w:r>
      <w:r>
        <w:rPr>
          <w:rFonts w:eastAsia="Times New Roman" w:cs="Times New Roman" w:ascii="Times New Roman" w:hAnsi="Times New Roman"/>
          <w:sz w:val="24"/>
          <w:szCs w:val="24"/>
        </w:rPr>
        <w:t xml:space="preserve"> prevalence depends on the background frequency of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appears to have a weaker impact on the prevalence of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as compared to the corresponding dynamics for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w:t>
      </w:r>
    </w:p>
    <w:p>
      <w:pPr>
        <w:pStyle w:val="LOnormal"/>
        <w:spacing w:lineRule="auto" w:line="360"/>
        <w:jc w:val="both"/>
        <w:rPr/>
      </w:pP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was less efficient to overcome the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gene’s selection pressure compared to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suggesting that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shd w:fill="FFFF00" w:val="clear"/>
        </w:rPr>
        <w:t>is dispensable for</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Figs. 2</w:t>
      </w:r>
      <w:r>
        <w:rPr>
          <w:rFonts w:eastAsia="Times New Roman" w:cs="Times New Roman" w:ascii="Times New Roman" w:hAnsi="Times New Roman"/>
          <w:b/>
          <w:bCs/>
          <w:i/>
          <w:iCs/>
          <w:sz w:val="24"/>
          <w:szCs w:val="24"/>
        </w:rPr>
        <w:t>D</w:t>
      </w:r>
      <w:r>
        <w:rPr>
          <w:rFonts w:eastAsia="Times New Roman" w:cs="Times New Roman" w:ascii="Times New Roman" w:hAnsi="Times New Roman"/>
          <w:b/>
          <w:bCs/>
          <w:sz w:val="24"/>
          <w:szCs w:val="24"/>
        </w:rPr>
        <w:t xml:space="preserve"> and 3</w:t>
      </w:r>
      <w:r>
        <w:rPr>
          <w:rFonts w:eastAsia="Times New Roman" w:cs="Times New Roman" w:ascii="Times New Roman" w:hAnsi="Times New Roman"/>
          <w:b/>
          <w:bCs/>
          <w:i/>
          <w:iCs/>
          <w:sz w:val="24"/>
          <w:szCs w:val="24"/>
        </w:rPr>
        <w:t>D</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Considering the overall low frequency of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(compared to </w:t>
      </w:r>
      <w:r>
        <w:rPr>
          <w:rFonts w:eastAsia="Times New Roman" w:cs="Times New Roman" w:ascii="Times New Roman" w:hAnsi="Times New Roman"/>
          <w:i/>
          <w:iCs/>
          <w:sz w:val="24"/>
          <w:szCs w:val="24"/>
        </w:rPr>
        <w:t>AVR-Pita, AVR-Pi9, AVR-Pizt, 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iCs/>
          <w:sz w:val="24"/>
          <w:szCs w:val="24"/>
        </w:rPr>
        <w:t>Pikm/Piks</w:t>
      </w:r>
      <w:r>
        <w:rPr>
          <w:rFonts w:eastAsia="Times New Roman" w:cs="Times New Roman" w:ascii="Times New Roman" w:hAnsi="Times New Roman"/>
          <w:sz w:val="24"/>
          <w:szCs w:val="24"/>
        </w:rPr>
        <w:t xml:space="preserve"> over time negated that benefit.</w:t>
      </w:r>
    </w:p>
    <w:p>
      <w:pPr>
        <w:pStyle w:val="LOnormal"/>
        <w:spacing w:lineRule="auto" w:line="360"/>
        <w:jc w:val="both"/>
        <w:rPr/>
      </w:pPr>
      <w:r>
        <w:rPr>
          <w:rFonts w:eastAsia="Times New Roman" w:cs="Times New Roman" w:ascii="Times New Roman" w:hAnsi="Times New Roman"/>
          <w:b/>
          <w:bCs/>
          <w:sz w:val="24"/>
          <w:szCs w:val="24"/>
        </w:rPr>
        <w:t xml:space="preserve">Evolutionary relationships among nucleotide variants of </w:t>
      </w:r>
      <w:r>
        <w:rPr>
          <w:rFonts w:eastAsia="Times New Roman" w:cs="Times New Roman" w:ascii="Times New Roman" w:hAnsi="Times New Roman"/>
          <w:b/>
          <w:bCs/>
          <w:i/>
          <w:iCs/>
          <w:sz w:val="24"/>
          <w:szCs w:val="24"/>
        </w:rPr>
        <w:t>AVR-Pita1</w:t>
      </w:r>
      <w:r>
        <w:rPr>
          <w:rFonts w:eastAsia="Times New Roman" w:cs="Times New Roman" w:ascii="Times New Roman" w:hAnsi="Times New Roman"/>
          <w:b/>
          <w:bCs/>
          <w:sz w:val="24"/>
          <w:szCs w:val="24"/>
        </w:rPr>
        <w:t xml:space="preserve"> and </w:t>
      </w:r>
      <w:r>
        <w:rPr>
          <w:rFonts w:eastAsia="Times New Roman" w:cs="Times New Roman" w:ascii="Times New Roman" w:hAnsi="Times New Roman"/>
          <w:b/>
          <w:bCs/>
          <w:i/>
          <w:iCs/>
          <w:sz w:val="24"/>
          <w:szCs w:val="24"/>
        </w:rPr>
        <w:t>AVR-Pik</w:t>
      </w:r>
    </w:p>
    <w:p>
      <w:pPr>
        <w:pStyle w:val="LOnormal"/>
        <w:spacing w:lineRule="auto" w:line="360"/>
        <w:jc w:val="both"/>
        <w:rPr/>
      </w:pPr>
      <w:r>
        <w:rPr>
          <w:rFonts w:eastAsia="Times New Roman" w:cs="Times New Roman" w:ascii="Times New Roman" w:hAnsi="Times New Roman"/>
          <w:sz w:val="24"/>
          <w:szCs w:val="24"/>
        </w:rPr>
        <w:t xml:space="preserve">There were 109 nucleotide haplotypes for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from 12 segregating sites (</w:t>
      </w:r>
      <w:r>
        <w:rPr>
          <w:rFonts w:eastAsia="Times New Roman" w:cs="Times New Roman" w:ascii="Times New Roman" w:hAnsi="Times New Roman"/>
          <w:b/>
          <w:bCs/>
          <w:sz w:val="24"/>
          <w:szCs w:val="24"/>
        </w:rPr>
        <w:t>Datasets S4</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 xml:space="preserve">). There was some bias in the representation of clonal lineages for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with one lineage related to V102 and V080 only being represented in the Global samples set, and lineages related to V061 and V014 being strongly over-represented in the U.S. set.</w:t>
      </w:r>
    </w:p>
    <w:p>
      <w:pPr>
        <w:pStyle w:val="LOnormal"/>
        <w:spacing w:lineRule="auto" w:line="360"/>
        <w:jc w:val="both"/>
        <w:rPr/>
      </w:pPr>
      <w:r>
        <w:rPr>
          <w:rFonts w:eastAsia="Times New Roman" w:cs="Times New Roman" w:ascii="Times New Roman" w:hAnsi="Times New Roman"/>
          <w:sz w:val="24"/>
          <w:szCs w:val="24"/>
        </w:rPr>
        <w:t xml:space="preserve">We highlighted four critical amino acid residues </w:t>
      </w:r>
      <w:r>
        <w:rPr>
          <w:rFonts w:eastAsia="Times New Roman" w:cs="Times New Roman" w:ascii="Times New Roman" w:hAnsi="Times New Roman"/>
          <w:sz w:val="24"/>
          <w:szCs w:val="24"/>
          <w:shd w:fill="FFFF00" w:val="clear"/>
        </w:rPr>
        <w:t>(see Takahashi</w:t>
      </w:r>
      <w:r>
        <w:rPr>
          <w:rFonts w:eastAsia="Times New Roman" w:cs="Times New Roman" w:ascii="Times New Roman" w:hAnsi="Times New Roman"/>
          <w:i/>
          <w:iCs/>
          <w:sz w:val="24"/>
          <w:szCs w:val="24"/>
          <w:shd w:fill="FFFF00" w:val="clear"/>
        </w:rPr>
        <w:t xml:space="preserve"> </w:t>
      </w:r>
      <w:r>
        <w:rPr>
          <w:rFonts w:eastAsia="Times New Roman" w:cs="Times New Roman" w:ascii="Times New Roman" w:hAnsi="Times New Roman"/>
          <w:i w:val="false"/>
          <w:iCs w:val="false"/>
          <w:sz w:val="24"/>
          <w:szCs w:val="24"/>
          <w:u w:val="none"/>
          <w:shd w:fill="FFFF00" w:val="clear"/>
        </w:rPr>
        <w:t>et al</w:t>
      </w:r>
      <w:r>
        <w:rPr>
          <w:rFonts w:eastAsia="Times New Roman" w:cs="Times New Roman" w:ascii="Times New Roman" w:hAnsi="Times New Roman"/>
          <w:i w:val="false"/>
          <w:iCs w:val="false"/>
          <w:sz w:val="24"/>
          <w:szCs w:val="24"/>
          <w:shd w:fill="FFFF00" w:val="clear"/>
        </w:rPr>
        <w:t>, 2010 for</w:t>
      </w:r>
      <w:r>
        <w:rPr>
          <w:rFonts w:eastAsia="Times New Roman" w:cs="Times New Roman" w:ascii="Times New Roman" w:hAnsi="Times New Roman"/>
          <w:i/>
          <w:iCs/>
          <w:sz w:val="24"/>
          <w:szCs w:val="24"/>
          <w:shd w:fill="FFFF00" w:val="clear"/>
        </w:rPr>
        <w:t xml:space="preserve"> AVR-Pita1</w:t>
      </w:r>
      <w:r>
        <w:rPr>
          <w:rFonts w:eastAsia="Times New Roman" w:cs="Times New Roman" w:ascii="Times New Roman" w:hAnsi="Times New Roman"/>
          <w:i w:val="false"/>
          <w:iCs w:val="false"/>
          <w:sz w:val="24"/>
          <w:szCs w:val="24"/>
          <w:shd w:fill="FFFF00" w:val="clear"/>
        </w:rPr>
        <w:t xml:space="preserve">; Maqbool et al, 2015, and Li et al, 2019, for </w:t>
      </w:r>
      <w:r>
        <w:rPr>
          <w:rFonts w:eastAsia="Times New Roman" w:cs="Times New Roman" w:ascii="Times New Roman" w:hAnsi="Times New Roman"/>
          <w:i/>
          <w:iCs/>
          <w:sz w:val="24"/>
          <w:szCs w:val="24"/>
          <w:shd w:fill="FFFF00" w:val="clear"/>
        </w:rPr>
        <w:t>AVR-Pik</w:t>
      </w:r>
      <w:r>
        <w:rPr>
          <w:rFonts w:eastAsia="Times New Roman" w:cs="Times New Roman" w:ascii="Times New Roman" w:hAnsi="Times New Roman"/>
          <w:i w:val="false"/>
          <w:iCs w:val="false"/>
          <w:sz w:val="24"/>
          <w:szCs w:val="24"/>
          <w:shd w:fill="FFFF00" w:val="clear"/>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for each of the AVR proteins and noted each time we observed them in the U.S. and Global sample sets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B/C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4</w:t>
      </w:r>
      <w:r>
        <w:rPr>
          <w:rFonts w:eastAsia="Times New Roman" w:cs="Times New Roman" w:ascii="Times New Roman" w:hAnsi="Times New Roman"/>
          <w:i/>
          <w:iCs/>
          <w:sz w:val="24"/>
          <w:szCs w:val="24"/>
        </w:rPr>
        <w:t>E</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F</w:t>
      </w:r>
      <w:r>
        <w:rPr>
          <w:rFonts w:eastAsia="Times New Roman" w:cs="Times New Roman" w:ascii="Times New Roman" w:hAnsi="Times New Roman"/>
          <w:sz w:val="24"/>
          <w:szCs w:val="24"/>
        </w:rPr>
        <w:t xml:space="preserve">). For the most part, once new variants of AVR-Pita1 or AVR-Pik were observed, they stayed around for the duration of sampling. The variant of AVR-Pita1 that was pathogenic to resistance protein Pita1, NQCR, was first detected in the U.S. in the late 1980s, after which point one more derivative variant was observed only in the U.S. – NQCK in the early 2000s. Two AVR-Pik variants without known cognate Pi-k allelic variants, HADM and NADK, were found much more commonly in the U.S. than in the World samples (4/4 and 12/14, respectively), where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has been widely deployed.</w:t>
      </w:r>
    </w:p>
    <w:p>
      <w:pPr>
        <w:pStyle w:val="LOnormal"/>
        <w:spacing w:lineRule="auto" w:line="360"/>
        <w:jc w:val="both"/>
        <w:rPr/>
      </w:pPr>
      <w:r>
        <w:rPr>
          <w:rFonts w:eastAsia="Times New Roman" w:cs="Times New Roman" w:ascii="Times New Roman" w:hAnsi="Times New Roman"/>
          <w:b/>
          <w:bCs/>
          <w:sz w:val="24"/>
          <w:szCs w:val="24"/>
        </w:rPr>
        <w:t xml:space="preserve">Validation of interaction specificity of </w:t>
      </w:r>
      <w:r>
        <w:rPr>
          <w:rFonts w:eastAsia="Times New Roman" w:cs="Times New Roman" w:ascii="Times New Roman" w:hAnsi="Times New Roman"/>
          <w:b/>
          <w:bCs/>
          <w:i/>
          <w:iCs/>
          <w:sz w:val="24"/>
          <w:szCs w:val="24"/>
        </w:rPr>
        <w:t>AVR</w:t>
      </w:r>
      <w:r>
        <w:rPr>
          <w:rFonts w:eastAsia="Times New Roman" w:cs="Times New Roman" w:ascii="Times New Roman" w:hAnsi="Times New Roman"/>
          <w:b/>
          <w:bCs/>
          <w:sz w:val="24"/>
          <w:szCs w:val="24"/>
        </w:rPr>
        <w:t xml:space="preserve"> genes with their cognate </w:t>
      </w:r>
      <w:r>
        <w:rPr>
          <w:rFonts w:eastAsia="Times New Roman" w:cs="Times New Roman" w:ascii="Times New Roman" w:hAnsi="Times New Roman"/>
          <w:b/>
          <w:bCs/>
          <w:i/>
          <w:iCs/>
          <w:sz w:val="24"/>
          <w:szCs w:val="24"/>
        </w:rPr>
        <w:t>R</w:t>
      </w:r>
      <w:r>
        <w:rPr>
          <w:rFonts w:eastAsia="Times New Roman" w:cs="Times New Roman" w:ascii="Times New Roman" w:hAnsi="Times New Roman"/>
          <w:b/>
          <w:bCs/>
          <w:sz w:val="24"/>
          <w:szCs w:val="24"/>
        </w:rPr>
        <w:t xml:space="preserve"> genes</w:t>
      </w:r>
    </w:p>
    <w:p>
      <w:pPr>
        <w:pStyle w:val="LOnormal"/>
        <w:spacing w:lineRule="auto" w:line="360"/>
        <w:jc w:val="both"/>
        <w:rPr/>
      </w:pPr>
      <w:bookmarkStart w:id="9" w:name="_5e0810o0uzre"/>
      <w:bookmarkEnd w:id="9"/>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gene, were </w:t>
      </w:r>
      <w:r>
        <w:rPr>
          <w:rFonts w:eastAsia="Times New Roman" w:cs="Times New Roman" w:ascii="Times New Roman" w:hAnsi="Times New Roman"/>
          <w:sz w:val="24"/>
          <w:szCs w:val="24"/>
          <w:shd w:fill="FFFF00" w:val="clear"/>
        </w:rPr>
        <w:t xml:space="preserve">challenged with one isolate carrying </w:t>
      </w:r>
      <w:r>
        <w:rPr>
          <w:rFonts w:eastAsia="Times New Roman" w:cs="Times New Roman" w:ascii="Times New Roman" w:hAnsi="Times New Roman"/>
          <w:i/>
          <w:iCs/>
          <w:sz w:val="24"/>
          <w:szCs w:val="24"/>
          <w:shd w:fill="FFFF00" w:val="clear"/>
        </w:rPr>
        <w:t>AVR-Pita</w:t>
      </w:r>
      <w:r>
        <w:rPr>
          <w:rFonts w:eastAsia="Times New Roman" w:cs="Times New Roman" w:ascii="Times New Roman" w:hAnsi="Times New Roman"/>
          <w:sz w:val="24"/>
          <w:szCs w:val="24"/>
          <w:shd w:fill="FFFF00" w:val="clear"/>
        </w:rPr>
        <w:t xml:space="preserve"> IB49</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Figure </w:t>
      </w:r>
      <w:r>
        <w:rPr>
          <w:rFonts w:eastAsia="Times New Roman" w:cs="Times New Roman" w:ascii="Times New Roman" w:hAnsi="Times New Roman"/>
          <w:b/>
          <w:bCs/>
          <w:sz w:val="24"/>
          <w:szCs w:val="24"/>
          <w:shd w:fill="FFFF00" w:val="clear"/>
        </w:rPr>
        <w:t>5</w:t>
      </w:r>
      <w:r>
        <w:rPr>
          <w:rFonts w:eastAsia="Times New Roman" w:cs="Times New Roman" w:ascii="Times New Roman" w:hAnsi="Times New Roman"/>
          <w:sz w:val="24"/>
          <w:szCs w:val="24"/>
        </w:rPr>
        <w:t xml:space="preserve">). Rice variety M202 lacks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iCs/>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haplotypes. </w:t>
      </w:r>
    </w:p>
    <w:p>
      <w:pPr>
        <w:pStyle w:val="LOnormal"/>
        <w:spacing w:lineRule="auto" w:line="360"/>
        <w:jc w:val="both"/>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iCs/>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iCs/>
          <w:color w:val="000000"/>
          <w:sz w:val="24"/>
          <w:szCs w:val="24"/>
        </w:rPr>
        <w:t>Pi-</w:t>
      </w:r>
      <w:r>
        <w:rPr>
          <w:rFonts w:eastAsia="Times New Roman" w:cs="Times New Roman" w:ascii="Times New Roman" w:hAnsi="Times New Roman"/>
          <w:i/>
          <w:iCs/>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AVR-Pik D showed moderate avirulence activity with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 xml:space="preserve">Pi-kh </w:t>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
        <w:t xml:space="preserve">Figure </w:t>
      </w:r>
      <w:r>
        <w:rPr>
          <w:rFonts w:eastAsia="Times New Roman" w:cs="Times New Roman" w:ascii="Times New Roman" w:hAnsi="Times New Roman"/>
          <w:b/>
          <w:bCs/>
          <w:sz w:val="24"/>
          <w:szCs w:val="24"/>
          <w:shd w:fill="FFFF00" w:val="clear"/>
        </w:rPr>
        <w:t>5</w:t>
      </w:r>
      <w:r>
        <w:rPr>
          <w:rFonts w:eastAsia="Times New Roman" w:cs="Times New Roman" w:ascii="Times New Roman" w:hAnsi="Times New Roman"/>
          <w:sz w:val="24"/>
          <w:szCs w:val="24"/>
        </w:rPr>
        <w:t xml:space="preserve">). </w:t>
      </w:r>
    </w:p>
    <w:p>
      <w:pPr>
        <w:pStyle w:val="LOnormal"/>
        <w:spacing w:lineRule="auto" w:line="360"/>
        <w:jc w:val="both"/>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genes and differential rice lines (</w:t>
      </w:r>
      <w:r>
        <w:rPr>
          <w:rFonts w:eastAsia="Times New Roman" w:cs="Times New Roman" w:ascii="Times New Roman" w:hAnsi="Times New Roman"/>
          <w:b/>
          <w:bCs/>
          <w:sz w:val="24"/>
          <w:szCs w:val="24"/>
        </w:rPr>
        <w:t xml:space="preserve">Figure </w:t>
      </w:r>
      <w:r>
        <w:rPr>
          <w:rFonts w:eastAsia="Times New Roman" w:cs="Times New Roman" w:ascii="Times New Roman" w:hAnsi="Times New Roman"/>
          <w:b/>
          <w:bCs/>
          <w:sz w:val="24"/>
          <w:szCs w:val="24"/>
          <w:shd w:fill="FFFF00" w:val="clear"/>
        </w:rPr>
        <w:t>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Dataset S5</w:t>
      </w:r>
      <w:r>
        <w:rPr>
          <w:rFonts w:eastAsia="Times New Roman" w:cs="Times New Roman" w:ascii="Times New Roman" w:hAnsi="Times New Roman"/>
          <w:sz w:val="24"/>
          <w:szCs w:val="24"/>
        </w:rPr>
        <w:t xml:space="preserve">). We showed that line IRBLzt-T carrying </w:t>
      </w:r>
      <w:r>
        <w:rPr>
          <w:rFonts w:eastAsia="Times New Roman" w:cs="Times New Roman" w:ascii="Times New Roman" w:hAnsi="Times New Roman"/>
          <w:i/>
          <w:iCs/>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iCs/>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iCs/>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Pia.</w:t>
      </w:r>
    </w:p>
    <w:p>
      <w:pPr>
        <w:pStyle w:val="LOnormal"/>
        <w:spacing w:lineRule="auto" w:line="360"/>
        <w:jc w:val="both"/>
        <w:rPr/>
      </w:pPr>
      <w:r>
        <w:rPr>
          <w:rFonts w:eastAsia="Times New Roman" w:cs="Times New Roman" w:ascii="Times New Roman" w:hAnsi="Times New Roman"/>
          <w:b/>
          <w:bCs/>
          <w:sz w:val="24"/>
          <w:szCs w:val="24"/>
        </w:rPr>
        <w:t>Discussion</w:t>
      </w:r>
    </w:p>
    <w:p>
      <w:pPr>
        <w:pStyle w:val="LOnormal"/>
        <w:spacing w:lineRule="auto" w:line="360"/>
        <w:jc w:val="both"/>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iCs/>
          <w:sz w:val="24"/>
          <w:szCs w:val="24"/>
        </w:rPr>
        <w:t xml:space="preserve">AVR-R </w:t>
      </w:r>
      <w:r>
        <w:rPr>
          <w:rFonts w:eastAsia="Times New Roman" w:cs="Times New Roman" w:ascii="Times New Roman" w:hAnsi="Times New Roman"/>
          <w:sz w:val="24"/>
          <w:szCs w:val="24"/>
        </w:rPr>
        <w:t>pair; and these changes were quite different from the patterns seen in Global samples (</w:t>
      </w:r>
      <w:r>
        <w:rPr>
          <w:rFonts w:eastAsia="Times New Roman" w:cs="Times New Roman" w:ascii="Times New Roman" w:hAnsi="Times New Roman"/>
          <w:b/>
          <w:bCs/>
          <w:sz w:val="24"/>
          <w:szCs w:val="24"/>
        </w:rPr>
        <w:t>Figures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shd w:fill="FFFF00" w:val="clear"/>
        </w:rPr>
        <w:t>Note that different methods were used to detect the</w:t>
      </w:r>
      <w:r>
        <w:rPr>
          <w:rFonts w:eastAsia="Times New Roman" w:cs="Times New Roman" w:ascii="Times New Roman" w:hAnsi="Times New Roman"/>
          <w:i/>
          <w:iCs/>
          <w:sz w:val="24"/>
          <w:szCs w:val="24"/>
          <w:shd w:fill="FFFF00" w:val="clear"/>
        </w:rPr>
        <w:t xml:space="preserve"> AVR</w:t>
      </w:r>
      <w:r>
        <w:rPr>
          <w:rFonts w:eastAsia="Times New Roman" w:cs="Times New Roman" w:ascii="Times New Roman" w:hAnsi="Times New Roman"/>
          <w:i w:val="false"/>
          <w:iCs w:val="false"/>
          <w:sz w:val="24"/>
          <w:szCs w:val="24"/>
          <w:shd w:fill="FFFF00" w:val="clear"/>
        </w:rPr>
        <w:t xml:space="preserve"> genes in the U.S. (PCR) and Global (primer counting) datasets, so there is a possibility some of the difference seen between the two sets is due to a difference in methodology. Follow-up studies using whole genome sequencing on the U.S. panel will clarify these potential differences.</w:t>
      </w:r>
      <w:r>
        <w:rPr>
          <w:rFonts w:eastAsia="Times New Roman" w:cs="Times New Roman" w:ascii="Times New Roman" w:hAnsi="Times New Roman"/>
          <w:i w:val="false"/>
          <w:iCs w:val="false"/>
          <w:sz w:val="24"/>
          <w:szCs w:val="24"/>
        </w:rPr>
        <w:t xml:space="preserve"> . Regardless, t</w:t>
      </w:r>
      <w:r>
        <w:rPr>
          <w:rFonts w:eastAsia="Times New Roman" w:cs="Times New Roman" w:ascii="Times New Roman" w:hAnsi="Times New Roman"/>
          <w:sz w:val="24"/>
          <w:szCs w:val="24"/>
        </w:rPr>
        <w:t xml:space="preserve">here were both changes in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presence/absence and haplotype diversity.</w:t>
      </w:r>
    </w:p>
    <w:p>
      <w:pPr>
        <w:pStyle w:val="LOnormal"/>
        <w:spacing w:lineRule="auto" w:line="360"/>
        <w:jc w:val="both"/>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iCs/>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iCs/>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that were widely deployed in the 1960s and the early 1970s (</w:t>
      </w:r>
      <w:r>
        <w:rPr>
          <w:rFonts w:eastAsia="Times New Roman" w:cs="Times New Roman" w:ascii="Times New Roman" w:hAnsi="Times New Roman"/>
          <w:b/>
          <w:bCs/>
          <w:sz w:val="24"/>
          <w:szCs w:val="24"/>
        </w:rPr>
        <w:t>Dataset S3</w:t>
      </w:r>
      <w:r>
        <w:rPr>
          <w:rFonts w:eastAsia="Times New Roman" w:cs="Times New Roman" w:ascii="Times New Roman" w:hAnsi="Times New Roman"/>
          <w:sz w:val="24"/>
          <w:szCs w:val="24"/>
        </w:rPr>
        <w:t xml:space="preserve">), were very rare in the U.S.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iCs/>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Pi33</w:t>
      </w:r>
      <w:r>
        <w:rPr>
          <w:rFonts w:eastAsia="Times New Roman" w:cs="Times New Roman" w:ascii="Times New Roman" w:hAnsi="Times New Roman"/>
          <w:sz w:val="24"/>
          <w:szCs w:val="24"/>
        </w:rPr>
        <w:t xml:space="preserve"> can be stacked to provide durable and effective blast resistance (Mundt, 2018).  </w:t>
      </w:r>
      <w:r>
        <w:rPr>
          <w:rFonts w:eastAsia="Times New Roman" w:cs="Times New Roman" w:ascii="Times New Roman" w:hAnsi="Times New Roman"/>
          <w:sz w:val="24"/>
          <w:szCs w:val="24"/>
          <w:shd w:fill="FFFF00" w:val="clear"/>
        </w:rPr>
        <w:t xml:space="preserve">Additionally, further follow work would help clarify why some </w:t>
      </w:r>
      <w:r>
        <w:rPr>
          <w:rFonts w:eastAsia="Times New Roman" w:cs="Times New Roman" w:ascii="Times New Roman" w:hAnsi="Times New Roman"/>
          <w:i/>
          <w:iCs/>
          <w:sz w:val="24"/>
          <w:szCs w:val="24"/>
          <w:shd w:fill="FFFF00" w:val="clear"/>
        </w:rPr>
        <w:t>AVR</w:t>
      </w:r>
      <w:r>
        <w:rPr>
          <w:rFonts w:eastAsia="Times New Roman" w:cs="Times New Roman" w:ascii="Times New Roman" w:hAnsi="Times New Roman"/>
          <w:i w:val="false"/>
          <w:iCs w:val="false"/>
          <w:sz w:val="24"/>
          <w:szCs w:val="24"/>
          <w:shd w:fill="FFFF00" w:val="clear"/>
        </w:rPr>
        <w:t xml:space="preserve"> genes, such as </w:t>
      </w:r>
      <w:r>
        <w:rPr>
          <w:rFonts w:eastAsia="Times New Roman" w:cs="Times New Roman" w:ascii="Times New Roman" w:hAnsi="Times New Roman"/>
          <w:i/>
          <w:iCs/>
          <w:sz w:val="24"/>
          <w:szCs w:val="24"/>
          <w:shd w:fill="FFFF00" w:val="clear"/>
        </w:rPr>
        <w:t>AVR-Pizt</w:t>
      </w:r>
      <w:r>
        <w:rPr>
          <w:rFonts w:eastAsia="Times New Roman" w:cs="Times New Roman" w:ascii="Times New Roman" w:hAnsi="Times New Roman"/>
          <w:i w:val="false"/>
          <w:iCs w:val="false"/>
          <w:sz w:val="24"/>
          <w:szCs w:val="24"/>
          <w:shd w:fill="FFFF00" w:val="clear"/>
        </w:rPr>
        <w:t xml:space="preserve">, seem to respond very slowly over a long time period, despite significant deployment of the cognate </w:t>
      </w:r>
      <w:r>
        <w:rPr>
          <w:rFonts w:eastAsia="Times New Roman" w:cs="Times New Roman" w:ascii="Times New Roman" w:hAnsi="Times New Roman"/>
          <w:i/>
          <w:iCs/>
          <w:sz w:val="24"/>
          <w:szCs w:val="24"/>
          <w:shd w:fill="FFFF00" w:val="clear"/>
        </w:rPr>
        <w:t>R</w:t>
      </w:r>
      <w:r>
        <w:rPr>
          <w:rFonts w:eastAsia="Times New Roman" w:cs="Times New Roman" w:ascii="Times New Roman" w:hAnsi="Times New Roman"/>
          <w:i w:val="false"/>
          <w:iCs w:val="false"/>
          <w:sz w:val="24"/>
          <w:szCs w:val="24"/>
          <w:shd w:fill="FFFF00" w:val="clear"/>
        </w:rPr>
        <w:t xml:space="preserve"> gene </w:t>
      </w:r>
      <w:r>
        <w:rPr>
          <w:rFonts w:eastAsia="Times New Roman" w:cs="Times New Roman" w:ascii="Times New Roman" w:hAnsi="Times New Roman"/>
          <w:i/>
          <w:iCs/>
          <w:sz w:val="24"/>
          <w:szCs w:val="24"/>
          <w:shd w:fill="FFFF00" w:val="clear"/>
        </w:rPr>
        <w:t xml:space="preserve">Pi-z. </w:t>
      </w:r>
      <w:r>
        <w:rPr>
          <w:rFonts w:eastAsia="Times New Roman" w:cs="Times New Roman" w:ascii="Times New Roman" w:hAnsi="Times New Roman"/>
          <w:i w:val="false"/>
          <w:iCs w:val="false"/>
          <w:sz w:val="24"/>
          <w:szCs w:val="24"/>
          <w:shd w:fill="FFFF00" w:val="clear"/>
        </w:rPr>
        <w:t xml:space="preserve">We note that the limitations of our findings regarding </w:t>
      </w:r>
      <w:r>
        <w:rPr>
          <w:rFonts w:eastAsia="Times New Roman" w:cs="Times New Roman" w:ascii="Times New Roman" w:hAnsi="Times New Roman"/>
          <w:i/>
          <w:iCs/>
          <w:sz w:val="24"/>
          <w:szCs w:val="24"/>
          <w:shd w:fill="FFFF00" w:val="clear"/>
        </w:rPr>
        <w:t>AVR</w:t>
      </w:r>
      <w:r>
        <w:rPr>
          <w:rFonts w:eastAsia="Times New Roman" w:cs="Times New Roman" w:ascii="Times New Roman" w:hAnsi="Times New Roman"/>
          <w:i w:val="false"/>
          <w:iCs w:val="false"/>
          <w:sz w:val="24"/>
          <w:szCs w:val="24"/>
          <w:shd w:fill="FFFF00" w:val="clear"/>
        </w:rPr>
        <w:t xml:space="preserve"> presence/absence are limited by the extent and availability of pathogen survey samples during the period of sample collection, and recommend future sampling experiment sample as deeply as possible to capture low-frequency, standing variation in the pathogen.</w:t>
      </w:r>
    </w:p>
    <w:p>
      <w:pPr>
        <w:pStyle w:val="LOnormal"/>
        <w:spacing w:lineRule="auto" w:line="360"/>
        <w:jc w:val="both"/>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iCs/>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iCs/>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iCs/>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iCs/>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Additionally, the population rapidly regained an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iCs/>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was removed from the field (</w:t>
      </w:r>
      <w:r>
        <w:rPr>
          <w:rFonts w:eastAsia="Times New Roman" w:cs="Times New Roman" w:ascii="Times New Roman" w:hAnsi="Times New Roman"/>
          <w:b/>
          <w:bCs/>
          <w:sz w:val="24"/>
          <w:szCs w:val="24"/>
        </w:rPr>
        <w:t>Figure 2</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The presence of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levels decrease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These results suggest that the virulence alleles of these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might impose fitness costs on the pathogen. </w:t>
      </w:r>
      <w:r>
        <w:rPr>
          <w:rFonts w:eastAsia="Times New Roman" w:cs="Times New Roman" w:ascii="Times New Roman" w:hAnsi="Times New Roman"/>
          <w:sz w:val="24"/>
          <w:szCs w:val="24"/>
          <w:shd w:fill="FFFF00" w:val="clear"/>
        </w:rPr>
        <w:t xml:space="preserve">However, more direct, non-survey measures of pathogen fitness from laboratory or field experiments would clarify which level at which </w:t>
      </w:r>
      <w:r>
        <w:rPr>
          <w:rFonts w:eastAsia="Times New Roman" w:cs="Times New Roman" w:ascii="Times New Roman" w:hAnsi="Times New Roman"/>
          <w:i/>
          <w:iCs/>
          <w:sz w:val="24"/>
          <w:szCs w:val="24"/>
          <w:shd w:fill="FFFF00" w:val="clear"/>
        </w:rPr>
        <w:t>AVR</w:t>
      </w:r>
      <w:r>
        <w:rPr>
          <w:rFonts w:eastAsia="Times New Roman" w:cs="Times New Roman" w:ascii="Times New Roman" w:hAnsi="Times New Roman"/>
          <w:i w:val="false"/>
          <w:iCs w:val="false"/>
          <w:sz w:val="24"/>
          <w:szCs w:val="24"/>
          <w:shd w:fill="FFFF00" w:val="clear"/>
        </w:rPr>
        <w:t xml:space="preserve"> gene loss impacts the pathogen life cycle.</w:t>
      </w:r>
    </w:p>
    <w:p>
      <w:pPr>
        <w:pStyle w:val="LOnormal"/>
        <w:spacing w:lineRule="auto" w:line="360"/>
        <w:jc w:val="both"/>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iCs/>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iCs/>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iCs/>
          <w:sz w:val="24"/>
          <w:szCs w:val="24"/>
        </w:rPr>
        <w:t xml:space="preserve">Pi-ta </w:t>
      </w:r>
      <w:r>
        <w:rPr>
          <w:rFonts w:eastAsia="Times New Roman" w:cs="Times New Roman" w:ascii="Times New Roman" w:hAnsi="Times New Roman"/>
          <w:sz w:val="24"/>
          <w:szCs w:val="24"/>
        </w:rPr>
        <w:t xml:space="preserve">deployed in the field. For example, some haplotypes were only present once in the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was not a surprise because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is a member of a subtelomeric gene family because they are easier to lose through evolution (Orbach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iCs/>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iCs/>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w:t>
      </w:r>
    </w:p>
    <w:p>
      <w:pPr>
        <w:pStyle w:val="LOnormal"/>
        <w:spacing w:lineRule="auto" w:line="360"/>
        <w:jc w:val="both"/>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2013). </w:t>
      </w:r>
    </w:p>
    <w:p>
      <w:pPr>
        <w:pStyle w:val="LOnormal"/>
        <w:spacing w:lineRule="auto" w:line="360"/>
        <w:jc w:val="both"/>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iCs/>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iCs/>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iCs/>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iCs/>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LOnormal"/>
        <w:spacing w:lineRule="auto" w:line="360"/>
        <w:jc w:val="both"/>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iCs/>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gene. </w:t>
      </w:r>
    </w:p>
    <w:p>
      <w:pPr>
        <w:pStyle w:val="LOnormal"/>
        <w:spacing w:lineRule="auto" w:line="360" w:before="120" w:after="120"/>
        <w:jc w:val="both"/>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and SSR markers (</w:t>
      </w:r>
      <w:r>
        <w:rPr>
          <w:rFonts w:eastAsia="Times New Roman" w:cs="Times New Roman" w:ascii="Times New Roman" w:hAnsi="Times New Roman"/>
          <w:b/>
          <w:bCs/>
          <w:sz w:val="24"/>
          <w:szCs w:val="24"/>
        </w:rPr>
        <w:t>Figure 1</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LOnormal"/>
        <w:spacing w:lineRule="auto" w:line="360" w:before="120" w:after="120"/>
        <w:jc w:val="both"/>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LOnormal"/>
        <w:spacing w:lineRule="auto" w:line="360"/>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iCs/>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LOnormal"/>
        <w:spacing w:lineRule="auto" w:line="360"/>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LOnormal"/>
        <w:spacing w:lineRule="auto" w:line="360" w:before="120" w:after="120"/>
        <w:jc w:val="both"/>
        <w:rPr/>
      </w:pPr>
      <w:r>
        <w:rPr>
          <w:rFonts w:eastAsia="Times New Roman" w:cs="Times New Roman" w:ascii="Times New Roman" w:hAnsi="Times New Roman"/>
          <w:b/>
          <w:bCs/>
          <w:sz w:val="24"/>
          <w:szCs w:val="24"/>
        </w:rPr>
        <w:t>Acknowledgments</w:t>
      </w:r>
    </w:p>
    <w:p>
      <w:pPr>
        <w:pStyle w:val="LOnormal"/>
        <w:spacing w:lineRule="auto" w:line="360" w:before="120" w:after="120"/>
        <w:jc w:val="both"/>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LOnormal"/>
        <w:spacing w:lineRule="auto" w:line="360" w:before="120" w:after="120"/>
        <w:jc w:val="both"/>
        <w:rPr/>
      </w:pPr>
      <w:r>
        <w:rPr>
          <w:rFonts w:eastAsia="Times New Roman" w:cs="Times New Roman" w:ascii="Times New Roman" w:hAnsi="Times New Roman"/>
          <w:b/>
          <w:bCs/>
          <w:sz w:val="24"/>
          <w:szCs w:val="24"/>
        </w:rPr>
        <w:t>Supporting Information</w:t>
      </w:r>
    </w:p>
    <w:p>
      <w:pPr>
        <w:pStyle w:val="LOnormal"/>
        <w:spacing w:lineRule="auto" w:line="360" w:before="120" w:after="120"/>
        <w:jc w:val="both"/>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LO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LOnormal"/>
        <w:spacing w:lineRule="auto" w:line="360" w:before="120" w:after="120"/>
        <w:jc w:val="both"/>
        <w:rPr/>
      </w:pPr>
      <w:r>
        <w:rPr>
          <w:rFonts w:eastAsia="Times New Roman" w:cs="Times New Roman" w:ascii="Times New Roman" w:hAnsi="Times New Roman"/>
          <w:sz w:val="24"/>
          <w:szCs w:val="24"/>
        </w:rPr>
        <w:t>Variant calling data for the 329 NCBI SRA entries are available at AgDataCommons FigShare under this private link for review: https://figshare.com/s/a10bc0296cbd4f1c42a8.</w:t>
      </w:r>
    </w:p>
    <w:p>
      <w:pPr>
        <w:pStyle w:val="LOnormal"/>
        <w:spacing w:lineRule="auto" w:line="360" w:before="120" w:after="120"/>
        <w:jc w:val="both"/>
        <w:rPr/>
      </w:pPr>
      <w:r>
        <w:rPr>
          <w:rFonts w:eastAsia="Times New Roman" w:cs="Times New Roman" w:ascii="Times New Roman" w:hAnsi="Times New Roman"/>
          <w:b/>
          <w:bCs/>
          <w:sz w:val="24"/>
          <w:szCs w:val="24"/>
        </w:rPr>
        <w:t>Competing interests:</w:t>
      </w:r>
    </w:p>
    <w:p>
      <w:pPr>
        <w:pStyle w:val="LOnormal"/>
        <w:spacing w:lineRule="auto" w:line="360" w:before="120" w:after="120"/>
        <w:jc w:val="both"/>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LOnormal"/>
        <w:spacing w:lineRule="auto" w:line="360" w:before="120" w:after="120"/>
        <w:jc w:val="both"/>
        <w:rPr/>
      </w:pPr>
      <w:r>
        <w:rPr>
          <w:rFonts w:eastAsia="Times New Roman" w:cs="Times New Roman" w:ascii="Times New Roman" w:hAnsi="Times New Roman"/>
          <w:b/>
          <w:bCs/>
          <w:sz w:val="24"/>
          <w:szCs w:val="24"/>
        </w:rPr>
        <w:t>Author contributions</w:t>
      </w:r>
    </w:p>
    <w:p>
      <w:pPr>
        <w:pStyle w:val="LOnormal"/>
        <w:spacing w:lineRule="auto" w:line="360" w:before="120" w:after="120"/>
        <w:jc w:val="both"/>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LOnormal"/>
        <w:spacing w:lineRule="auto" w:line="360" w:before="120" w:after="120"/>
        <w:jc w:val="both"/>
        <w:rPr/>
      </w:pPr>
      <w:r>
        <w:rPr>
          <w:rFonts w:eastAsia="Times New Roman" w:cs="Times New Roman" w:ascii="Times New Roman" w:hAnsi="Times New Roman"/>
          <w:b/>
          <w:bCs/>
          <w:sz w:val="24"/>
          <w:szCs w:val="24"/>
        </w:rPr>
        <w:t>ORCID</w:t>
      </w:r>
    </w:p>
    <w:p>
      <w:pPr>
        <w:pStyle w:val="LO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LOnormal"/>
        <w:spacing w:lineRule="auto" w:line="360" w:before="120" w:after="120"/>
        <w:jc w:val="both"/>
        <w:rPr/>
      </w:pPr>
      <w:r>
        <w:rPr>
          <w:rFonts w:eastAsia="Times New Roman" w:cs="Times New Roman" w:ascii="Times New Roman" w:hAnsi="Times New Roman"/>
          <w:sz w:val="24"/>
          <w:szCs w:val="24"/>
        </w:rPr>
        <w:t>Grant Billings https://orcid.org/0000-0002-4368-0670</w:t>
      </w:r>
    </w:p>
    <w:p>
      <w:pPr>
        <w:pStyle w:val="LOnormal"/>
        <w:spacing w:lineRule="auto" w:line="360" w:before="120" w:after="120"/>
        <w:jc w:val="both"/>
        <w:rPr/>
      </w:pPr>
      <w:r>
        <w:rPr>
          <w:rFonts w:eastAsia="Times New Roman" w:cs="Times New Roman" w:ascii="Times New Roman" w:hAnsi="Times New Roman"/>
          <w:sz w:val="24"/>
          <w:szCs w:val="24"/>
        </w:rPr>
        <w:t>Amanda Hulse-Kemp https://orcid.org/0000-0001-9670-9433</w:t>
      </w:r>
    </w:p>
    <w:p>
      <w:pPr>
        <w:pStyle w:val="LOnormal"/>
        <w:spacing w:lineRule="auto" w:line="360" w:before="120" w:after="120"/>
        <w:jc w:val="both"/>
        <w:rPr/>
      </w:pPr>
      <w:r>
        <w:rPr>
          <w:rFonts w:eastAsia="Times New Roman" w:cs="Times New Roman" w:ascii="Times New Roman" w:hAnsi="Times New Roman"/>
          <w:sz w:val="24"/>
          <w:szCs w:val="24"/>
        </w:rPr>
        <w:t>Quentin Read https://orcid.org/0000-0003-4315-5582</w:t>
      </w:r>
    </w:p>
    <w:p>
      <w:pPr>
        <w:pStyle w:val="LOnormal"/>
        <w:spacing w:lineRule="auto" w:line="360" w:before="120" w:after="120"/>
        <w:jc w:val="both"/>
        <w:rPr/>
      </w:pPr>
      <w:r>
        <w:rPr>
          <w:rFonts w:eastAsia="Times New Roman" w:cs="Times New Roman" w:ascii="Times New Roman" w:hAnsi="Times New Roman"/>
          <w:sz w:val="24"/>
          <w:szCs w:val="24"/>
        </w:rPr>
        <w:t>Yeshi Wamishe https://orcid.org/0000-0002-4647-8603</w:t>
      </w:r>
    </w:p>
    <w:p>
      <w:pPr>
        <w:pStyle w:val="LOnormal"/>
        <w:spacing w:lineRule="auto" w:line="360" w:before="120" w:after="120"/>
        <w:jc w:val="both"/>
        <w:rPr/>
      </w:pPr>
      <w:r>
        <w:rPr>
          <w:rFonts w:eastAsia="Times New Roman" w:cs="Times New Roman" w:ascii="Times New Roman" w:hAnsi="Times New Roman"/>
          <w:sz w:val="24"/>
          <w:szCs w:val="24"/>
        </w:rPr>
        <w:t>Barbara Valent http://orcid.org/0000-0002-5088-3345</w:t>
      </w:r>
    </w:p>
    <w:p>
      <w:pPr>
        <w:pStyle w:val="LOnormal"/>
        <w:spacing w:lineRule="auto" w:line="360" w:before="120" w:after="120"/>
        <w:jc w:val="both"/>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LOnormal"/>
        <w:spacing w:lineRule="auto" w:line="360" w:before="120" w:after="120"/>
        <w:jc w:val="both"/>
        <w:rPr/>
      </w:pPr>
      <w:r>
        <w:rPr>
          <w:rFonts w:eastAsia="Times New Roman" w:cs="Times New Roman" w:ascii="Times New Roman" w:hAnsi="Times New Roman"/>
          <w:sz w:val="24"/>
          <w:szCs w:val="24"/>
        </w:rPr>
        <w:t>Melissa Jia https://orcid.org/0000-0003-0484-0608</w:t>
      </w:r>
    </w:p>
    <w:p>
      <w:pPr>
        <w:pStyle w:val="LOnormal"/>
        <w:spacing w:lineRule="auto" w:line="360" w:before="120" w:after="120"/>
        <w:jc w:val="both"/>
        <w:rPr/>
      </w:pPr>
      <w:r>
        <w:rPr>
          <w:rFonts w:eastAsia="Times New Roman" w:cs="Times New Roman" w:ascii="Times New Roman" w:hAnsi="Times New Roman"/>
          <w:sz w:val="24"/>
          <w:szCs w:val="24"/>
        </w:rPr>
        <w:t>Yixiao Huang https://orcid.org/0000-0003-1104-4730</w:t>
      </w:r>
    </w:p>
    <w:p>
      <w:pPr>
        <w:pStyle w:val="LOnormal"/>
        <w:spacing w:lineRule="auto" w:line="360" w:before="120" w:after="120"/>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LOnormal"/>
        <w:spacing w:lineRule="auto" w:line="360" w:before="120" w:after="120"/>
        <w:jc w:val="both"/>
        <w:rPr/>
      </w:pPr>
      <w:r>
        <w:rPr>
          <w:rFonts w:eastAsia="Times New Roman" w:cs="Times New Roman" w:ascii="Times New Roman" w:hAnsi="Times New Roman"/>
          <w:b/>
          <w:bCs/>
          <w:sz w:val="24"/>
          <w:szCs w:val="24"/>
        </w:rPr>
        <w:t>Reference</w:t>
      </w:r>
      <w:bookmarkStart w:id="10" w:name="devoi65ua2zk"/>
      <w:bookmarkEnd w:id="10"/>
      <w:r>
        <w:rPr>
          <w:rFonts w:eastAsia="Times New Roman" w:cs="Times New Roman" w:ascii="Times New Roman" w:hAnsi="Times New Roman"/>
          <w:b/>
          <w:bCs/>
          <w:sz w:val="24"/>
          <w:szCs w:val="24"/>
        </w:rPr>
        <w:t xml:space="preserve">s </w:t>
      </w:r>
    </w:p>
    <w:p>
      <w:pPr>
        <w:pStyle w:val="LOnormal"/>
        <w:spacing w:lineRule="auto" w:line="360" w:before="0" w:after="0"/>
        <w:ind w:left="90" w:hanging="0"/>
        <w:rPr/>
      </w:pPr>
      <w:r>
        <w:rPr>
          <w:rFonts w:eastAsia="Times New Roman" w:cs="Times New Roman" w:ascii="Times New Roman" w:hAnsi="Times New Roman"/>
          <w:b/>
          <w:bCs/>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iCs/>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bCs/>
          <w:sz w:val="24"/>
          <w:szCs w:val="24"/>
        </w:rPr>
        <w:t>9</w:t>
      </w:r>
      <w:r>
        <w:rPr>
          <w:rFonts w:eastAsia="Times New Roman" w:cs="Times New Roman" w:ascii="Times New Roman" w:hAnsi="Times New Roman"/>
          <w:sz w:val="24"/>
          <w:szCs w:val="24"/>
        </w:rPr>
        <w:t xml:space="preserve">: 26. </w:t>
      </w:r>
    </w:p>
    <w:p>
      <w:pPr>
        <w:pStyle w:val="LOnormal"/>
        <w:spacing w:lineRule="auto" w:line="360" w:before="0" w:after="0"/>
        <w:ind w:left="90" w:hanging="0"/>
        <w:rPr/>
      </w:pPr>
      <w:r>
        <w:rPr>
          <w:rFonts w:eastAsia="Times New Roman" w:cs="Times New Roman" w:ascii="Times New Roman" w:hAnsi="Times New Roman"/>
          <w:b/>
          <w:bCs/>
          <w:sz w:val="24"/>
          <w:szCs w:val="24"/>
        </w:rPr>
        <w:t>Brooks ME, Kristensen K, van Benthem KJ, Magnusson A, Berg CW, Nielsen A, Skaug HJ, Maechler M and Bolker  BM. 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LOnormal"/>
        <w:spacing w:lineRule="auto" w:line="360" w:before="0" w:after="0"/>
        <w:ind w:left="90" w:hanging="0"/>
        <w:rPr/>
      </w:pPr>
      <w:r>
        <w:rPr>
          <w:rFonts w:eastAsia="Times New Roman" w:cs="Times New Roman" w:ascii="Times New Roman" w:hAnsi="Times New Roman"/>
          <w:b/>
          <w:bCs/>
          <w:sz w:val="24"/>
          <w:szCs w:val="24"/>
        </w:rPr>
        <w:t>Chen S.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iCs/>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bCs/>
          <w:sz w:val="24"/>
          <w:szCs w:val="24"/>
        </w:rPr>
        <w:t>7</w:t>
      </w:r>
      <w:r>
        <w:rPr>
          <w:rFonts w:eastAsia="Times New Roman" w:cs="Times New Roman" w:ascii="Times New Roman" w:hAnsi="Times New Roman"/>
          <w:sz w:val="24"/>
          <w:szCs w:val="24"/>
        </w:rPr>
        <w:t xml:space="preserve">: e1002147.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477</w:t>
      </w:r>
      <w:r>
        <w:rPr>
          <w:rFonts w:eastAsia="Times New Roman" w:cs="Times New Roman" w:ascii="Times New Roman" w:hAnsi="Times New Roman"/>
          <w:sz w:val="24"/>
          <w:szCs w:val="24"/>
        </w:rPr>
        <w:t xml:space="preserve">: 973-980. </w:t>
      </w:r>
    </w:p>
    <w:p>
      <w:pPr>
        <w:pStyle w:val="LOnormal"/>
        <w:spacing w:lineRule="auto" w:line="360"/>
        <w:ind w:left="90" w:hanging="0"/>
        <w:jc w:val="both"/>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iCs/>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bCs/>
          <w:color w:val="202020"/>
          <w:sz w:val="24"/>
          <w:szCs w:val="24"/>
        </w:rPr>
        <w:t>11</w:t>
      </w:r>
      <w:r>
        <w:rPr>
          <w:rFonts w:eastAsia="Times New Roman" w:cs="Times New Roman" w:ascii="Times New Roman" w:hAnsi="Times New Roman"/>
          <w:color w:val="202020"/>
          <w:sz w:val="24"/>
          <w:szCs w:val="24"/>
        </w:rPr>
        <w:t xml:space="preserve">: e1005228.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iCs/>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iCs/>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bCs/>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iCs/>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iCs/>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iCs/>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150</w:t>
      </w:r>
      <w:r>
        <w:rPr>
          <w:rFonts w:eastAsia="Times New Roman" w:cs="Times New Roman" w:ascii="Times New Roman" w:hAnsi="Times New Roman"/>
          <w:sz w:val="24"/>
          <w:szCs w:val="24"/>
        </w:rPr>
        <w:t xml:space="preserve">: 1049-1058.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iCs/>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iCs/>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7</w:t>
      </w:r>
      <w:r>
        <w:rPr>
          <w:rFonts w:eastAsia="Times New Roman" w:cs="Times New Roman" w:ascii="Times New Roman" w:hAnsi="Times New Roman"/>
          <w:sz w:val="24"/>
          <w:szCs w:val="24"/>
        </w:rPr>
        <w:t xml:space="preserve">: 205.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iCs/>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42</w:t>
      </w:r>
      <w:r>
        <w:rPr>
          <w:rFonts w:eastAsia="Times New Roman" w:cs="Times New Roman" w:ascii="Times New Roman" w:hAnsi="Times New Roman"/>
          <w:sz w:val="24"/>
          <w:szCs w:val="24"/>
        </w:rPr>
        <w:t xml:space="preserve">: 761-72. </w:t>
      </w:r>
    </w:p>
    <w:p>
      <w:pPr>
        <w:pStyle w:val="LOnormal"/>
        <w:spacing w:lineRule="auto" w:line="360"/>
        <w:ind w:left="90" w:hanging="0"/>
        <w:jc w:val="both"/>
        <w:rPr/>
      </w:pPr>
      <w:r>
        <w:rPr>
          <w:rFonts w:eastAsia="Times New Roman" w:cs="Times New Roman" w:ascii="Times New Roman" w:hAnsi="Times New Roman"/>
          <w:b/>
          <w:bCs/>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LOnormal"/>
        <w:spacing w:lineRule="auto" w:line="360"/>
        <w:ind w:left="90" w:hanging="0"/>
        <w:jc w:val="both"/>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Fonts w:eastAsia="Times New Roman" w:cs="Times New Roman" w:ascii="Times New Roman" w:hAnsi="Times New Roman"/>
            <w:color w:val="000080"/>
            <w:sz w:val="24"/>
            <w:szCs w:val="24"/>
            <w:u w:val="single"/>
          </w:rPr>
          <w:t>https://doi.org/10.1093/nar/gkt1183</w:t>
        </w:r>
      </w:hyperlink>
      <w:r>
        <w:rPr>
          <w:rFonts w:eastAsia="Times New Roman" w:cs="Times New Roman" w:ascii="Times New Roman" w:hAnsi="Times New Roman"/>
          <w:sz w:val="24"/>
          <w:szCs w:val="24"/>
        </w:rPr>
        <w:t xml:space="preserve"> </w:t>
      </w:r>
    </w:p>
    <w:p>
      <w:pPr>
        <w:pStyle w:val="LOnormal"/>
        <w:spacing w:lineRule="auto" w:line="360"/>
        <w:ind w:left="90" w:hanging="0"/>
        <w:jc w:val="both"/>
        <w:rPr/>
      </w:pPr>
      <w:r>
        <w:rPr>
          <w:rFonts w:eastAsia="Times New Roman" w:cs="Times New Roman" w:ascii="Times New Roman" w:hAnsi="Times New Roman"/>
          <w:b/>
          <w:bCs/>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Fonts w:eastAsia="Times New Roman" w:cs="Times New Roman" w:ascii="Times New Roman" w:hAnsi="Times New Roman"/>
          <w:i/>
          <w:iCs/>
          <w:sz w:val="24"/>
          <w:szCs w:val="24"/>
        </w:rPr>
        <w:t>Systematic Biology</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59</w:t>
      </w:r>
      <w:r>
        <w:rPr>
          <w:rFonts w:eastAsia="Times New Roman" w:cs="Times New Roman" w:ascii="Times New Roman" w:hAnsi="Times New Roman"/>
          <w:sz w:val="24"/>
          <w:szCs w:val="24"/>
        </w:rPr>
        <w:t xml:space="preserve">(3), 307–321. </w:t>
      </w:r>
      <w:hyperlink r:id="rId5">
        <w:r>
          <w:rPr>
            <w:rFonts w:eastAsia="Times New Roman" w:cs="Times New Roman" w:ascii="Times New Roman" w:hAnsi="Times New Roman"/>
            <w:color w:val="000080"/>
            <w:sz w:val="24"/>
            <w:szCs w:val="24"/>
            <w:u w:val="single"/>
          </w:rPr>
          <w:t>https://doi.org/10.1093/sysbio/syq010</w:t>
        </w:r>
      </w:hyperlink>
    </w:p>
    <w:p>
      <w:pPr>
        <w:pStyle w:val="LOnormal"/>
        <w:spacing w:lineRule="auto" w:line="360"/>
        <w:ind w:left="90" w:hanging="0"/>
        <w:jc w:val="both"/>
        <w:rPr/>
      </w:pPr>
      <w:r>
        <w:rPr>
          <w:rFonts w:eastAsia="Times New Roman" w:cs="Times New Roman" w:ascii="Times New Roman" w:hAnsi="Times New Roman"/>
          <w:b/>
          <w:bCs/>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iCs/>
          <w:color w:val="2A2A2A"/>
          <w:sz w:val="24"/>
          <w:szCs w:val="24"/>
          <w:shd w:fill="FAFAFA" w:val="clear"/>
        </w:rPr>
        <w:t xml:space="preserve">Nucleic Acids Symposium Series </w:t>
      </w:r>
      <w:r>
        <w:rPr>
          <w:rFonts w:eastAsia="Times New Roman" w:cs="Times New Roman" w:ascii="Times New Roman" w:hAnsi="Times New Roman"/>
          <w:b/>
          <w:bCs/>
          <w:sz w:val="24"/>
          <w:szCs w:val="24"/>
        </w:rPr>
        <w:t>41</w:t>
      </w:r>
      <w:r>
        <w:rPr>
          <w:rFonts w:eastAsia="Times New Roman" w:cs="Times New Roman" w:ascii="Times New Roman" w:hAnsi="Times New Roman"/>
          <w:sz w:val="24"/>
          <w:szCs w:val="24"/>
        </w:rPr>
        <w:t>: 95-98.</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bCs/>
          <w:sz w:val="24"/>
          <w:szCs w:val="24"/>
        </w:rPr>
        <w:t>15</w:t>
      </w:r>
      <w:r>
        <w:rPr>
          <w:rFonts w:eastAsia="Times New Roman" w:cs="Times New Roman" w:ascii="Times New Roman" w:hAnsi="Times New Roman"/>
          <w:sz w:val="24"/>
          <w:szCs w:val="24"/>
        </w:rPr>
        <w:t>: 45.</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iCs/>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iCs/>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iCs/>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iCs/>
          <w:color w:val="000000"/>
          <w:sz w:val="24"/>
          <w:szCs w:val="24"/>
        </w:rPr>
        <w:t>European Journal of Plant Pathology</w:t>
      </w:r>
      <w:r>
        <w:rPr>
          <w:rFonts w:eastAsia="Times New Roman" w:cs="Times New Roman" w:ascii="Times New Roman" w:hAnsi="Times New Roman"/>
          <w:i/>
          <w:iCs/>
          <w:color w:val="000000"/>
          <w:sz w:val="24"/>
          <w:szCs w:val="24"/>
          <w:shd w:fill="FCFCFC" w:val="clear"/>
        </w:rPr>
        <w:t xml:space="preserve"> </w:t>
      </w:r>
      <w:r>
        <w:rPr>
          <w:rFonts w:eastAsia="Times New Roman" w:cs="Times New Roman" w:ascii="Times New Roman" w:hAnsi="Times New Roman"/>
          <w:b/>
          <w:bCs/>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bCs/>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iCs/>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bCs/>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iCs/>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7</w:t>
      </w:r>
      <w:r>
        <w:rPr>
          <w:rFonts w:eastAsia="Times New Roman" w:cs="Times New Roman" w:ascii="Times New Roman" w:hAnsi="Times New Roman"/>
          <w:color w:val="000000"/>
          <w:sz w:val="24"/>
          <w:szCs w:val="24"/>
        </w:rPr>
        <w:t>: e43066.</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iCs/>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iCs/>
          <w:color w:val="000000"/>
          <w:sz w:val="24"/>
          <w:szCs w:val="24"/>
        </w:rPr>
        <w:t xml:space="preserve">EMBO Journal </w:t>
      </w:r>
      <w:r>
        <w:rPr>
          <w:rFonts w:eastAsia="Times New Roman" w:cs="Times New Roman" w:ascii="Times New Roman" w:hAnsi="Times New Roman"/>
          <w:b/>
          <w:bCs/>
          <w:color w:val="000000"/>
          <w:sz w:val="24"/>
          <w:szCs w:val="24"/>
        </w:rPr>
        <w:t>19</w:t>
      </w:r>
      <w:r>
        <w:rPr>
          <w:rFonts w:eastAsia="Times New Roman" w:cs="Times New Roman" w:ascii="Times New Roman" w:hAnsi="Times New Roman"/>
          <w:color w:val="000000"/>
          <w:sz w:val="24"/>
          <w:szCs w:val="24"/>
        </w:rPr>
        <w:t xml:space="preserve">: 4004-4014. </w:t>
      </w:r>
    </w:p>
    <w:p>
      <w:pPr>
        <w:pStyle w:val="LOnormal"/>
        <w:spacing w:lineRule="auto" w:line="360"/>
        <w:ind w:left="90" w:hanging="0"/>
        <w:jc w:val="both"/>
        <w:rPr/>
      </w:pPr>
      <w:r>
        <w:rPr>
          <w:rFonts w:eastAsia="Times New Roman" w:cs="Times New Roman" w:ascii="Times New Roman" w:hAnsi="Times New Roman"/>
          <w:b/>
          <w:bCs/>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LOnormal"/>
        <w:keepNext w:val="false"/>
        <w:keepLines w:val="false"/>
        <w:pageBreakBefore w:val="false"/>
        <w:widowControl/>
        <w:shd w:val="clear" w:fill="auto"/>
        <w:spacing w:lineRule="auto" w:line="360" w:before="0" w:after="140"/>
        <w:ind w:left="89" w:right="0" w:hanging="0"/>
        <w:jc w:val="both"/>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highlight w:val="white"/>
          <w:u w:val="none"/>
          <w:vertAlign w:val="baseline"/>
        </w:rPr>
        <w:t>Jombart T. 2008</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highlight w:val="white"/>
          <w:u w:val="none"/>
          <w:vertAlign w:val="baseline"/>
        </w:rPr>
        <w:t xml:space="preserve">. adegenet: a R package for the multivariate analysis of genetic markers.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white"/>
          <w:u w:val="none"/>
          <w:vertAlign w:val="baseline"/>
        </w:rPr>
        <w:t>Bioinformatics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highlight w:val="white"/>
          <w:u w:val="none"/>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highlight w:val="white"/>
          <w:u w:val="none"/>
          <w:vertAlign w:val="baseline"/>
        </w:rPr>
        <w:t>24</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highlight w:val="white"/>
          <w:u w:val="none"/>
          <w:vertAlign w:val="baseline"/>
        </w:rPr>
        <w:t xml:space="preserve">, 1403–1405. </w:t>
      </w:r>
      <w:hyperlink r:id="rId6">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highlight w:val="white"/>
            <w:u w:val="single"/>
            <w:vertAlign w:val="baseline"/>
          </w:rPr>
          <w:t>https://doi.org/10.1093/bioinformatics/btn129</w:t>
        </w:r>
      </w:hyperlink>
    </w:p>
    <w:p>
      <w:pPr>
        <w:pStyle w:val="LOnormal"/>
        <w:keepNext w:val="false"/>
        <w:keepLines w:val="false"/>
        <w:pageBreakBefore w:val="false"/>
        <w:widowControl/>
        <w:shd w:val="clear" w:fill="auto"/>
        <w:spacing w:lineRule="auto" w:line="276" w:before="0" w:after="140"/>
        <w:ind w:left="89" w:right="0" w:hanging="0"/>
        <w:jc w:val="left"/>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Jombart T, Ahmed I. 2011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adegenet 1.3-1: new tools for the analysis of genome-wide SNP data.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Bioinformatics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80"/>
          <w:position w:val="0"/>
          <w:sz w:val="24"/>
          <w:sz w:val="24"/>
          <w:szCs w:val="24"/>
          <w:u w:val="single"/>
          <w:shd w:fill="auto" w:val="clear"/>
          <w:vertAlign w:val="baseline"/>
        </w:rPr>
        <w:t>https://doi.org/10.1093/bioinformatics/btr521</w:t>
      </w:r>
    </w:p>
    <w:p>
      <w:pPr>
        <w:pStyle w:val="LOnormal"/>
        <w:keepNext w:val="false"/>
        <w:keepLines w:val="false"/>
        <w:pageBreakBefore w:val="false"/>
        <w:widowControl/>
        <w:shd w:val="clear" w:fill="auto"/>
        <w:spacing w:lineRule="auto" w:line="276" w:before="0" w:after="140"/>
        <w:ind w:left="89" w:right="0" w:hanging="0"/>
        <w:jc w:val="left"/>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Kamvar ZN, Larsen MM, Kanaskie AM, Hansen EM, Grünwald NJ. 2015</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Spatial and Temporal Analysis of Populations of the Sudden Oak Death Pathogen in Oregon Forests.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Phytopathology</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4"/>
          <w:sz w:val="24"/>
          <w:szCs w:val="24"/>
          <w:u w:val="none"/>
          <w:shd w:fill="auto" w:val="clear"/>
          <w:vertAlign w:val="baseline"/>
        </w:rPr>
        <w:t>105</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 982–989. </w:t>
      </w:r>
      <w:hyperlink r:id="rId7">
        <w:r>
          <w:rPr>
            <w:rFonts w:eastAsia="Times New Roman" w:cs="Times New Roman" w:ascii="Times New Roman" w:hAnsi="Times New Roman"/>
            <w:b w:val="false"/>
            <w:bCs w:val="false"/>
            <w:i w:val="false"/>
            <w:iCs w:val="false"/>
            <w:caps w:val="false"/>
            <w:smallCaps w:val="false"/>
            <w:strike w:val="false"/>
            <w:dstrike w:val="false"/>
            <w:color w:val="000080"/>
            <w:position w:val="0"/>
            <w:sz w:val="24"/>
            <w:sz w:val="24"/>
            <w:szCs w:val="24"/>
            <w:u w:val="single"/>
            <w:shd w:fill="auto" w:val="clear"/>
            <w:vertAlign w:val="baseline"/>
          </w:rPr>
          <w:t>https://doi.org/10.1094/PHYTO-12-14-0350-FI</w:t>
        </w:r>
      </w:hyperlink>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iCs/>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8</w:t>
      </w:r>
      <w:r>
        <w:rPr>
          <w:rFonts w:eastAsia="Times New Roman" w:cs="Times New Roman" w:ascii="Times New Roman" w:hAnsi="Times New Roman"/>
          <w:sz w:val="24"/>
          <w:szCs w:val="24"/>
        </w:rPr>
        <w:t xml:space="preserve">: 939-948.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iCs/>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iCs/>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iCs/>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iCs/>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72</w:t>
      </w:r>
      <w:r>
        <w:rPr>
          <w:rFonts w:eastAsia="Times New Roman" w:cs="Times New Roman" w:ascii="Times New Roman" w:hAnsi="Times New Roman"/>
          <w:color w:val="000000"/>
          <w:sz w:val="24"/>
          <w:szCs w:val="24"/>
        </w:rPr>
        <w:t xml:space="preserve">: 894-907.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iCs/>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iCs/>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iCs/>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21</w:t>
      </w:r>
      <w:r>
        <w:rPr>
          <w:rFonts w:eastAsia="Times New Roman" w:cs="Times New Roman" w:ascii="Times New Roman" w:hAnsi="Times New Roman"/>
          <w:color w:val="000000"/>
          <w:sz w:val="24"/>
          <w:szCs w:val="24"/>
        </w:rPr>
        <w:t xml:space="preserve">: 658-670. </w:t>
      </w:r>
    </w:p>
    <w:p>
      <w:pPr>
        <w:pStyle w:val="LOnormal"/>
        <w:spacing w:lineRule="auto" w:line="360"/>
        <w:ind w:left="90" w:hanging="0"/>
        <w:jc w:val="both"/>
        <w:rPr/>
      </w:pPr>
      <w:r>
        <w:rPr>
          <w:rFonts w:eastAsia="Times New Roman" w:cs="Times New Roman" w:ascii="Times New Roman" w:hAnsi="Times New Roman"/>
          <w:b/>
          <w:bCs/>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Fonts w:eastAsia="Times New Roman" w:cs="Times New Roman" w:ascii="Times New Roman" w:hAnsi="Times New Roman"/>
          <w:i/>
          <w:iCs/>
          <w:color w:val="000000"/>
          <w:sz w:val="24"/>
          <w:szCs w:val="24"/>
        </w:rPr>
        <w:t>Mol Ecol Resour</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iCs/>
          <w:color w:val="000000"/>
          <w:sz w:val="24"/>
          <w:szCs w:val="24"/>
        </w:rPr>
        <w:t>21</w:t>
      </w:r>
      <w:r>
        <w:rPr>
          <w:rFonts w:eastAsia="Times New Roman" w:cs="Times New Roman" w:ascii="Times New Roman" w:hAnsi="Times New Roman"/>
          <w:color w:val="000000"/>
          <w:sz w:val="24"/>
          <w:szCs w:val="24"/>
        </w:rPr>
        <w:t xml:space="preserve">(4), 1359–1368. </w:t>
      </w:r>
      <w:r>
        <w:rPr>
          <w:rStyle w:val="InternetLink"/>
          <w:rFonts w:eastAsia="Times New Roman" w:cs="Times New Roman" w:ascii="Times New Roman" w:hAnsi="Times New Roman"/>
          <w:color w:val="000000"/>
          <w:sz w:val="24"/>
          <w:szCs w:val="24"/>
          <w:u w:val="single"/>
        </w:rPr>
        <w:t>https://doi.org/10.1111/1755-0998.13326</w:t>
      </w:r>
    </w:p>
    <w:p>
      <w:pPr>
        <w:pStyle w:val="LOnormal"/>
        <w:spacing w:lineRule="auto" w:line="360"/>
        <w:ind w:left="90" w:hanging="0"/>
        <w:jc w:val="both"/>
        <w:rPr/>
      </w:pPr>
      <w:r>
        <w:rPr>
          <w:rFonts w:eastAsia="Times New Roman" w:cs="Times New Roman" w:ascii="Times New Roman" w:hAnsi="Times New Roman"/>
          <w:b/>
          <w:bCs/>
          <w:color w:val="000000"/>
          <w:sz w:val="24"/>
          <w:szCs w:val="24"/>
          <w:u w:val="none"/>
        </w:rPr>
        <w:t>Kou Y, Shi H, Qiu J, Tao Z, Wang W. 2024</w:t>
      </w:r>
      <w:r>
        <w:rPr>
          <w:rFonts w:eastAsia="Times New Roman" w:cs="Times New Roman" w:ascii="Times New Roman" w:hAnsi="Times New Roman"/>
          <w:color w:val="000000"/>
          <w:sz w:val="24"/>
          <w:szCs w:val="24"/>
          <w:u w:val="none"/>
        </w:rPr>
        <w:t xml:space="preserve">. Effectors and environment modulating rice blast disease: from understanding to effective control. </w:t>
      </w:r>
      <w:r>
        <w:rPr>
          <w:rFonts w:eastAsia="Times New Roman" w:cs="Times New Roman" w:ascii="Times New Roman" w:hAnsi="Times New Roman"/>
          <w:i/>
          <w:iCs/>
          <w:color w:val="000000"/>
          <w:sz w:val="24"/>
          <w:szCs w:val="24"/>
          <w:u w:val="none"/>
        </w:rPr>
        <w:t>Trends in Microbiology</w:t>
      </w:r>
      <w:r>
        <w:rPr>
          <w:rFonts w:eastAsia="Times New Roman" w:cs="Times New Roman" w:ascii="Times New Roman" w:hAnsi="Times New Roman"/>
          <w:color w:val="000000"/>
          <w:sz w:val="24"/>
          <w:szCs w:val="24"/>
          <w:u w:val="none"/>
        </w:rPr>
        <w:t xml:space="preserve"> </w:t>
      </w:r>
      <w:r>
        <w:rPr>
          <w:rFonts w:eastAsia="Times New Roman" w:cs="Times New Roman" w:ascii="Times New Roman" w:hAnsi="Times New Roman"/>
          <w:b/>
          <w:bCs/>
          <w:color w:val="000000"/>
          <w:sz w:val="24"/>
          <w:szCs w:val="24"/>
          <w:u w:val="none"/>
        </w:rPr>
        <w:t>32</w:t>
      </w:r>
      <w:r>
        <w:rPr>
          <w:rFonts w:eastAsia="Times New Roman" w:cs="Times New Roman" w:ascii="Times New Roman" w:hAnsi="Times New Roman"/>
          <w:color w:val="000000"/>
          <w:sz w:val="24"/>
          <w:szCs w:val="24"/>
          <w:u w:val="none"/>
        </w:rPr>
        <w:t>: 1007-1020.</w:t>
      </w:r>
    </w:p>
    <w:p>
      <w:pPr>
        <w:pStyle w:val="LOnormal"/>
        <w:spacing w:lineRule="auto" w:line="360"/>
        <w:ind w:left="90" w:hanging="0"/>
        <w:jc w:val="both"/>
        <w:rPr/>
      </w:pPr>
      <w:r>
        <w:rPr>
          <w:rFonts w:eastAsia="Times New Roman" w:cs="Times New Roman" w:ascii="Times New Roman" w:hAnsi="Times New Roman"/>
          <w:b/>
          <w:bCs/>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Fonts w:eastAsia="Times New Roman" w:cs="Times New Roman" w:ascii="Times New Roman" w:hAnsi="Times New Roman"/>
          <w:i/>
          <w:iCs/>
          <w:color w:val="000000"/>
          <w:sz w:val="24"/>
          <w:szCs w:val="24"/>
        </w:rPr>
        <w:t>Bioinformatics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iCs/>
          <w:color w:val="000000"/>
          <w:sz w:val="24"/>
          <w:szCs w:val="24"/>
        </w:rPr>
        <w:t>23</w:t>
      </w:r>
      <w:r>
        <w:rPr>
          <w:rFonts w:eastAsia="Times New Roman" w:cs="Times New Roman" w:ascii="Times New Roman" w:hAnsi="Times New Roman"/>
          <w:color w:val="000000"/>
          <w:sz w:val="24"/>
          <w:szCs w:val="24"/>
        </w:rPr>
        <w:t xml:space="preserve">(21), 2947–2948. </w:t>
      </w:r>
      <w:hyperlink r:id="rId8">
        <w:r>
          <w:rPr>
            <w:rFonts w:eastAsia="Times New Roman" w:cs="Times New Roman" w:ascii="Times New Roman" w:hAnsi="Times New Roman"/>
            <w:color w:val="000000"/>
            <w:sz w:val="24"/>
            <w:szCs w:val="24"/>
            <w:u w:val="single"/>
          </w:rPr>
          <w:t>https://doi.org/10.1093/bioinformatics/btm404</w:t>
        </w:r>
      </w:hyperlink>
    </w:p>
    <w:p>
      <w:pPr>
        <w:pStyle w:val="LOnormal"/>
        <w:spacing w:lineRule="auto" w:line="360"/>
        <w:ind w:left="90" w:hanging="0"/>
        <w:jc w:val="both"/>
        <w:rPr/>
      </w:pPr>
      <w:r>
        <w:rPr>
          <w:rFonts w:eastAsia="Times New Roman" w:cs="Times New Roman" w:ascii="Times New Roman" w:hAnsi="Times New Roman"/>
          <w:b/>
          <w:bCs/>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bCs/>
          <w:color w:val="000000"/>
          <w:sz w:val="24"/>
          <w:szCs w:val="24"/>
        </w:rPr>
        <w:t>18</w:t>
      </w:r>
      <w:r>
        <w:rPr>
          <w:rFonts w:eastAsia="Times New Roman" w:cs="Times New Roman" w:ascii="Times New Roman" w:hAnsi="Times New Roman"/>
          <w:color w:val="000000"/>
          <w:sz w:val="24"/>
          <w:szCs w:val="24"/>
        </w:rPr>
        <w:t xml:space="preserve">:88.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iCs/>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39</w:t>
      </w:r>
      <w:r>
        <w:rPr>
          <w:rFonts w:eastAsia="Times New Roman" w:cs="Times New Roman" w:ascii="Times New Roman" w:hAnsi="Times New Roman"/>
          <w:sz w:val="24"/>
          <w:szCs w:val="24"/>
        </w:rPr>
        <w:t>: 187– 224.</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iCs/>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iCs/>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104</w:t>
      </w:r>
      <w:r>
        <w:rPr>
          <w:rFonts w:eastAsia="Times New Roman" w:cs="Times New Roman" w:ascii="Times New Roman" w:hAnsi="Times New Roman"/>
          <w:color w:val="000000"/>
          <w:sz w:val="24"/>
          <w:szCs w:val="24"/>
        </w:rPr>
        <w:t>: 762-768.</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iCs/>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iCs/>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iCs/>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bCs/>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iCs/>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iCs/>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22</w:t>
      </w:r>
      <w:r>
        <w:rPr>
          <w:rFonts w:eastAsia="Times New Roman" w:cs="Times New Roman" w:ascii="Times New Roman" w:hAnsi="Times New Roman"/>
          <w:sz w:val="24"/>
          <w:szCs w:val="24"/>
        </w:rPr>
        <w:t xml:space="preserve">: 411- 420.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iCs/>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7</w:t>
      </w:r>
      <w:r>
        <w:rPr>
          <w:rFonts w:eastAsia="Times New Roman" w:cs="Times New Roman" w:ascii="Times New Roman" w:hAnsi="Times New Roman"/>
          <w:sz w:val="24"/>
          <w:szCs w:val="24"/>
        </w:rPr>
        <w:t>: 23.</w:t>
      </w:r>
    </w:p>
    <w:p>
      <w:pPr>
        <w:pStyle w:val="LOnormal"/>
        <w:spacing w:lineRule="auto" w:line="360"/>
        <w:ind w:left="90" w:hanging="0"/>
        <w:jc w:val="both"/>
        <w:rPr/>
      </w:pPr>
      <w:r>
        <w:rPr>
          <w:rFonts w:eastAsia="Times New Roman" w:cs="Times New Roman" w:ascii="Times New Roman" w:hAnsi="Times New Roman"/>
          <w:b/>
          <w:bCs/>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LOnormal"/>
        <w:spacing w:lineRule="auto" w:line="360"/>
        <w:ind w:left="90" w:hanging="0"/>
        <w:jc w:val="both"/>
        <w:rPr/>
      </w:pPr>
      <w:r>
        <w:rPr>
          <w:rFonts w:eastAsia="Times New Roman" w:cs="Times New Roman" w:ascii="Times New Roman" w:hAnsi="Times New Roman"/>
          <w:b/>
          <w:bCs/>
          <w:sz w:val="24"/>
          <w:szCs w:val="24"/>
        </w:rPr>
        <w:t>Maqbool A, Saitoh H, Franceschetti M, Stevenson CEM, Uemura A, Kanzaki H, Kamoun S, Terauchi R, Banfield MJ. 2015.</w:t>
      </w:r>
      <w:r>
        <w:rPr>
          <w:rFonts w:eastAsia="Times New Roman" w:cs="Times New Roman" w:ascii="Times New Roman" w:hAnsi="Times New Roman"/>
          <w:b w:val="false"/>
          <w:bCs w:val="false"/>
          <w:sz w:val="24"/>
          <w:szCs w:val="24"/>
        </w:rPr>
        <w:t xml:space="preserve"> Structural basis of pathogen recognition by an integrated HMA domain in a plant NLR immune receptor. </w:t>
      </w:r>
      <w:r>
        <w:rPr>
          <w:rFonts w:eastAsia="Times New Roman" w:cs="Times New Roman" w:ascii="Times New Roman" w:hAnsi="Times New Roman"/>
          <w:b w:val="false"/>
          <w:bCs w:val="false"/>
          <w:i/>
          <w:iCs/>
          <w:sz w:val="24"/>
          <w:szCs w:val="24"/>
        </w:rPr>
        <w:t>eLife</w:t>
      </w: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bCs/>
          <w:sz w:val="24"/>
          <w:szCs w:val="24"/>
        </w:rPr>
        <w:t>4</w:t>
      </w:r>
      <w:r>
        <w:rPr>
          <w:rFonts w:eastAsia="Times New Roman" w:cs="Times New Roman" w:ascii="Times New Roman" w:hAnsi="Times New Roman"/>
          <w:b w:val="false"/>
          <w:bCs w:val="false"/>
          <w:sz w:val="24"/>
          <w:szCs w:val="24"/>
        </w:rPr>
        <w:t>: e08709.</w:t>
      </w:r>
    </w:p>
    <w:p>
      <w:pPr>
        <w:pStyle w:val="LOnormal"/>
        <w:spacing w:lineRule="auto" w:line="360"/>
        <w:ind w:left="90" w:hanging="0"/>
        <w:jc w:val="both"/>
        <w:rPr/>
      </w:pPr>
      <w:r>
        <w:rPr>
          <w:rFonts w:eastAsia="Times New Roman" w:cs="Times New Roman" w:ascii="Times New Roman" w:hAnsi="Times New Roman"/>
          <w:b/>
          <w:bCs/>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Fonts w:eastAsia="Times New Roman" w:cs="Times New Roman" w:ascii="Times New Roman" w:hAnsi="Times New Roman"/>
          <w:i/>
          <w:iCs/>
          <w:sz w:val="24"/>
          <w:szCs w:val="24"/>
        </w:rPr>
        <w:t>Genome Res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20</w:t>
      </w:r>
      <w:r>
        <w:rPr>
          <w:rFonts w:eastAsia="Times New Roman" w:cs="Times New Roman" w:ascii="Times New Roman" w:hAnsi="Times New Roman"/>
          <w:sz w:val="24"/>
          <w:szCs w:val="24"/>
        </w:rPr>
        <w:t xml:space="preserve">(9), 1297–1303. </w:t>
      </w:r>
      <w:hyperlink r:id="rId9">
        <w:r>
          <w:rPr>
            <w:rFonts w:eastAsia="Times New Roman" w:cs="Times New Roman" w:ascii="Times New Roman" w:hAnsi="Times New Roman"/>
            <w:color w:val="000080"/>
            <w:sz w:val="24"/>
            <w:szCs w:val="24"/>
            <w:u w:val="single"/>
          </w:rPr>
          <w:t>https://doi.org/10.1101/gr.107524.110</w:t>
        </w:r>
      </w:hyperlink>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iCs/>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iCs/>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iCs/>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iCs/>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bCs/>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iCs/>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10</w:t>
      </w:r>
      <w:r>
        <w:rPr>
          <w:rFonts w:eastAsia="Times New Roman" w:cs="Times New Roman" w:ascii="Times New Roman" w:hAnsi="Times New Roman"/>
          <w:sz w:val="24"/>
          <w:szCs w:val="24"/>
        </w:rPr>
        <w:t>: 361-374.</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iCs/>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bCs/>
          <w:sz w:val="24"/>
          <w:szCs w:val="24"/>
        </w:rPr>
        <w:t>10</w:t>
      </w:r>
      <w:r>
        <w:rPr>
          <w:rFonts w:eastAsia="Times New Roman" w:cs="Times New Roman" w:ascii="Times New Roman" w:hAnsi="Times New Roman"/>
          <w:sz w:val="24"/>
          <w:szCs w:val="24"/>
        </w:rPr>
        <w:t xml:space="preserve">: 283.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iCs/>
          <w:sz w:val="24"/>
          <w:szCs w:val="24"/>
        </w:rPr>
        <w:t xml:space="preserve">Phytopathology </w:t>
      </w:r>
      <w:r>
        <w:rPr>
          <w:rFonts w:eastAsia="Times New Roman" w:cs="Times New Roman" w:ascii="Times New Roman" w:hAnsi="Times New Roman"/>
          <w:b/>
          <w:bCs/>
          <w:sz w:val="24"/>
          <w:szCs w:val="24"/>
        </w:rPr>
        <w:t>108</w:t>
      </w:r>
      <w:r>
        <w:rPr>
          <w:rFonts w:eastAsia="Times New Roman" w:cs="Times New Roman" w:ascii="Times New Roman" w:hAnsi="Times New Roman"/>
          <w:sz w:val="24"/>
          <w:szCs w:val="24"/>
        </w:rPr>
        <w:t>: 792-802.</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iCs/>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11</w:t>
      </w:r>
      <w:r>
        <w:rPr>
          <w:rFonts w:eastAsia="Times New Roman" w:cs="Times New Roman" w:ascii="Times New Roman" w:hAnsi="Times New Roman"/>
          <w:sz w:val="24"/>
          <w:szCs w:val="24"/>
        </w:rPr>
        <w:t>: e0167295.</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12</w:t>
      </w:r>
      <w:r>
        <w:rPr>
          <w:rFonts w:eastAsia="Times New Roman" w:cs="Times New Roman" w:ascii="Times New Roman" w:hAnsi="Times New Roman"/>
          <w:sz w:val="24"/>
          <w:szCs w:val="24"/>
        </w:rPr>
        <w:t xml:space="preserve">:2019-2032. </w:t>
      </w:r>
    </w:p>
    <w:p>
      <w:pPr>
        <w:pStyle w:val="LOnormal"/>
        <w:spacing w:lineRule="auto" w:line="360"/>
        <w:ind w:left="90" w:hanging="0"/>
        <w:jc w:val="both"/>
        <w:rPr/>
      </w:pPr>
      <w:r>
        <w:rPr>
          <w:rFonts w:eastAsia="Times New Roman" w:cs="Times New Roman" w:ascii="Times New Roman" w:hAnsi="Times New Roman"/>
          <w:b/>
          <w:bCs/>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Fonts w:eastAsia="Times New Roman" w:cs="Times New Roman" w:ascii="Times New Roman" w:hAnsi="Times New Roman"/>
          <w:i/>
          <w:iCs/>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35</w:t>
      </w:r>
      <w:r>
        <w:rPr>
          <w:rFonts w:eastAsia="Times New Roman" w:cs="Times New Roman" w:ascii="Times New Roman" w:hAnsi="Times New Roman"/>
          <w:sz w:val="24"/>
          <w:szCs w:val="24"/>
        </w:rPr>
        <w:t xml:space="preserve">, 526–528. </w:t>
      </w:r>
      <w:hyperlink r:id="rId10">
        <w:r>
          <w:rPr>
            <w:rFonts w:eastAsia="Times New Roman" w:cs="Times New Roman" w:ascii="Times New Roman" w:hAnsi="Times New Roman"/>
            <w:color w:val="000080"/>
            <w:sz w:val="24"/>
            <w:szCs w:val="24"/>
            <w:u w:val="single"/>
          </w:rPr>
          <w:t>https://doi.org/10.1093/bioinformatics/bty633</w:t>
        </w:r>
      </w:hyperlink>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iCs/>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15</w:t>
      </w:r>
      <w:r>
        <w:rPr>
          <w:rFonts w:eastAsia="Times New Roman" w:cs="Times New Roman" w:ascii="Times New Roman" w:hAnsi="Times New Roman"/>
          <w:sz w:val="24"/>
          <w:szCs w:val="24"/>
        </w:rPr>
        <w:t>: e1008272.</w:t>
      </w:r>
    </w:p>
    <w:p>
      <w:pPr>
        <w:pStyle w:val="LOnormal"/>
        <w:spacing w:lineRule="auto" w:line="360"/>
        <w:ind w:left="90" w:hanging="0"/>
        <w:jc w:val="both"/>
        <w:rPr/>
      </w:pPr>
      <w:r>
        <w:rPr>
          <w:rFonts w:eastAsia="Times New Roman" w:cs="Times New Roman" w:ascii="Times New Roman" w:hAnsi="Times New Roman"/>
          <w:b/>
          <w:bCs/>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iCs/>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327</w:t>
      </w:r>
      <w:r>
        <w:rPr>
          <w:rFonts w:eastAsia="Times New Roman" w:cs="Times New Roman" w:ascii="Times New Roman" w:hAnsi="Times New Roman"/>
          <w:sz w:val="24"/>
          <w:szCs w:val="24"/>
        </w:rPr>
        <w:t xml:space="preserve">: 804-805.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iCs/>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iCs/>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bCs/>
          <w:sz w:val="24"/>
          <w:szCs w:val="24"/>
        </w:rPr>
        <w:t>74</w:t>
      </w:r>
      <w:r>
        <w:rPr>
          <w:rFonts w:eastAsia="Times New Roman" w:cs="Times New Roman" w:ascii="Times New Roman" w:hAnsi="Times New Roman"/>
          <w:sz w:val="24"/>
          <w:szCs w:val="24"/>
        </w:rPr>
        <w:t>: 1- 12.</w:t>
      </w:r>
    </w:p>
    <w:p>
      <w:pPr>
        <w:pStyle w:val="LOnormal"/>
        <w:ind w:left="90" w:hanging="0"/>
        <w:rPr/>
      </w:pPr>
      <w:r>
        <w:rPr>
          <w:rFonts w:eastAsia="Times New Roman" w:cs="Times New Roman" w:ascii="Times New Roman" w:hAnsi="Times New Roman"/>
          <w:b/>
          <w:bCs/>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iCs/>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19</w:t>
      </w:r>
      <w:r>
        <w:rPr>
          <w:rFonts w:eastAsia="Times New Roman" w:cs="Times New Roman" w:ascii="Times New Roman" w:hAnsi="Times New Roman"/>
          <w:sz w:val="24"/>
          <w:szCs w:val="24"/>
        </w:rPr>
        <w:t>: 2496-2497.</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iCs/>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107</w:t>
      </w:r>
      <w:r>
        <w:rPr>
          <w:rFonts w:eastAsia="Times New Roman" w:cs="Times New Roman" w:ascii="Times New Roman" w:hAnsi="Times New Roman"/>
          <w:sz w:val="24"/>
          <w:szCs w:val="24"/>
        </w:rPr>
        <w:t>: 711-720.</w:t>
      </w:r>
    </w:p>
    <w:p>
      <w:pPr>
        <w:pStyle w:val="LOnormal"/>
        <w:spacing w:lineRule="auto" w:line="360"/>
        <w:ind w:left="90" w:hanging="0"/>
        <w:jc w:val="both"/>
        <w:rPr/>
      </w:pPr>
      <w:r>
        <w:rPr>
          <w:rFonts w:eastAsia="Times New Roman" w:cs="Times New Roman" w:ascii="Times New Roman" w:hAnsi="Times New Roman"/>
          <w:b/>
          <w:bCs/>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Fonts w:eastAsia="Times New Roman" w:cs="Times New Roman" w:ascii="Times New Roman" w:hAnsi="Times New Roman"/>
          <w:i/>
          <w:iCs/>
          <w:sz w:val="24"/>
          <w:szCs w:val="24"/>
        </w:rPr>
        <w:t>Mol Syst Biol</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7</w:t>
      </w:r>
      <w:r>
        <w:rPr>
          <w:rFonts w:eastAsia="Times New Roman" w:cs="Times New Roman" w:ascii="Times New Roman" w:hAnsi="Times New Roman"/>
          <w:sz w:val="24"/>
          <w:szCs w:val="24"/>
        </w:rPr>
        <w:t xml:space="preserve">, 539. </w:t>
      </w:r>
      <w:hyperlink r:id="rId11">
        <w:r>
          <w:rPr>
            <w:rFonts w:eastAsia="Times New Roman" w:cs="Times New Roman" w:ascii="Times New Roman" w:hAnsi="Times New Roman"/>
            <w:color w:val="000080"/>
            <w:sz w:val="24"/>
            <w:szCs w:val="24"/>
            <w:u w:val="single"/>
          </w:rPr>
          <w:t>https://doi.org/10.1038/msb.2011.75</w:t>
        </w:r>
      </w:hyperlink>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iCs/>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iCs/>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82</w:t>
      </w:r>
      <w:r>
        <w:rPr>
          <w:rFonts w:eastAsia="Times New Roman" w:cs="Times New Roman" w:ascii="Times New Roman" w:hAnsi="Times New Roman"/>
          <w:sz w:val="24"/>
          <w:szCs w:val="24"/>
        </w:rPr>
        <w:t xml:space="preserve">: 577-580.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iCs/>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14</w:t>
      </w:r>
      <w:r>
        <w:rPr>
          <w:rFonts w:eastAsia="Times New Roman" w:cs="Times New Roman" w:ascii="Times New Roman" w:hAnsi="Times New Roman"/>
          <w:sz w:val="24"/>
          <w:szCs w:val="24"/>
        </w:rPr>
        <w:t>: 419.</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bCs/>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iCs/>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iCs/>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7</w:t>
      </w:r>
      <w:r>
        <w:rPr>
          <w:rFonts w:eastAsia="Times New Roman" w:cs="Times New Roman" w:ascii="Times New Roman" w:hAnsi="Times New Roman"/>
          <w:sz w:val="24"/>
          <w:szCs w:val="24"/>
        </w:rPr>
        <w:t xml:space="preserve">: 1221-1233. </w:t>
      </w:r>
    </w:p>
    <w:p>
      <w:pPr>
        <w:pStyle w:val="LOnormal"/>
        <w:spacing w:lineRule="auto" w:line="360"/>
        <w:ind w:left="90" w:hanging="0"/>
        <w:jc w:val="both"/>
        <w:rPr/>
      </w:pPr>
      <w:r>
        <w:rPr>
          <w:rFonts w:ascii="Times New Roman" w:hAnsi="Times New Roman"/>
          <w:b/>
          <w:bCs/>
          <w:sz w:val="24"/>
          <w:szCs w:val="24"/>
        </w:rPr>
        <w:t>Takahashi M, Ashizawa T, Hirayae K, Moriwaki J, Sone T, Sonoda R, Tsujimoto Noguchi M, Nagashima S, Ishikawa K, Arai M. 2010</w:t>
      </w:r>
      <w:r>
        <w:rPr>
          <w:rFonts w:ascii="Times New Roman" w:hAnsi="Times New Roman"/>
          <w:sz w:val="24"/>
          <w:szCs w:val="24"/>
        </w:rPr>
        <w:t>. One of two major paralogs of AVR-Pita1 is functional in Japanese rice blast isolates.</w:t>
      </w:r>
      <w:r>
        <w:rPr>
          <w:rFonts w:ascii="Times New Roman" w:hAnsi="Times New Roman"/>
          <w:i/>
          <w:iCs/>
          <w:sz w:val="24"/>
          <w:szCs w:val="24"/>
        </w:rPr>
        <w:t xml:space="preserve"> Phytopathology</w:t>
      </w:r>
      <w:r>
        <w:rPr>
          <w:rFonts w:ascii="Times New Roman" w:hAnsi="Times New Roman"/>
          <w:sz w:val="24"/>
          <w:szCs w:val="24"/>
        </w:rPr>
        <w:t xml:space="preserve"> </w:t>
      </w:r>
      <w:r>
        <w:rPr>
          <w:rFonts w:ascii="Times New Roman" w:hAnsi="Times New Roman"/>
          <w:b/>
          <w:bCs/>
          <w:sz w:val="24"/>
          <w:szCs w:val="24"/>
        </w:rPr>
        <w:t>100</w:t>
      </w:r>
      <w:r>
        <w:rPr>
          <w:rFonts w:ascii="Times New Roman" w:hAnsi="Times New Roman"/>
          <w:sz w:val="24"/>
          <w:szCs w:val="24"/>
        </w:rPr>
        <w:t>: 612-618.</w:t>
      </w:r>
    </w:p>
    <w:p>
      <w:pPr>
        <w:pStyle w:val="LOnormal"/>
        <w:spacing w:lineRule="auto" w:line="360"/>
        <w:ind w:left="90" w:hanging="0"/>
        <w:jc w:val="both"/>
        <w:rPr/>
      </w:pPr>
      <w:r>
        <w:rPr>
          <w:rFonts w:eastAsia="Times New Roman" w:cs="Times New Roman" w:ascii="Times New Roman" w:hAnsi="Times New Roman"/>
          <w:b/>
          <w:bCs/>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iCs/>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LOnormal"/>
        <w:spacing w:lineRule="auto" w:line="360" w:before="0" w:after="0"/>
        <w:ind w:left="90" w:hanging="0"/>
        <w:rPr/>
      </w:pPr>
      <w:r>
        <w:rPr>
          <w:rFonts w:eastAsia="Times New Roman" w:cs="Times New Roman" w:ascii="Times New Roman" w:hAnsi="Times New Roman"/>
          <w:b/>
          <w:bCs/>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iCs/>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299</w:t>
      </w:r>
      <w:r>
        <w:rPr>
          <w:rFonts w:eastAsia="Times New Roman" w:cs="Times New Roman" w:ascii="Times New Roman" w:hAnsi="Times New Roman"/>
          <w:sz w:val="24"/>
          <w:szCs w:val="24"/>
        </w:rPr>
        <w:t>: 1735- 1739.</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color w:val="222222"/>
          <w:sz w:val="24"/>
          <w:szCs w:val="24"/>
          <w:highlight w:val="white"/>
        </w:rPr>
        <w:t xml:space="preserve"> Efficient Architecture-Aware Acceleration of BWA-MEM for Multicore Systems. </w:t>
      </w:r>
      <w:r>
        <w:rPr>
          <w:rFonts w:eastAsia="Times New Roman" w:cs="Times New Roman" w:ascii="Times New Roman" w:hAnsi="Times New Roman"/>
          <w:i/>
          <w:iCs/>
          <w:color w:val="222222"/>
          <w:sz w:val="24"/>
          <w:szCs w:val="24"/>
          <w:highlight w:val="white"/>
        </w:rPr>
        <w:t>IEEE Parallel and Distributed Processing Symposium (IPDPS)</w:t>
      </w:r>
      <w:r>
        <w:rPr>
          <w:rFonts w:eastAsia="Times New Roman" w:cs="Times New Roman" w:ascii="Times New Roman" w:hAnsi="Times New Roman"/>
          <w:color w:val="222222"/>
          <w:sz w:val="24"/>
          <w:szCs w:val="24"/>
          <w:highlight w:val="white"/>
        </w:rPr>
        <w:t>.</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Vera Cruz CM, Bai J, Oña I, Leung H, 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iCs/>
          <w:sz w:val="24"/>
          <w:szCs w:val="24"/>
        </w:rPr>
        <w:t xml:space="preserve">Proceedings of the National Academy of Sciences of the United States of America </w:t>
      </w:r>
      <w:r>
        <w:rPr>
          <w:rFonts w:eastAsia="Times New Roman" w:cs="Times New Roman" w:ascii="Times New Roman" w:hAnsi="Times New Roman"/>
          <w:b/>
          <w:bCs/>
          <w:sz w:val="24"/>
          <w:szCs w:val="24"/>
        </w:rPr>
        <w:t>97</w:t>
      </w:r>
      <w:r>
        <w:rPr>
          <w:rFonts w:eastAsia="Times New Roman" w:cs="Times New Roman" w:ascii="Times New Roman" w:hAnsi="Times New Roman"/>
          <w:sz w:val="24"/>
          <w:szCs w:val="24"/>
        </w:rPr>
        <w:t>: 13500-13505.</w:t>
      </w:r>
    </w:p>
    <w:p>
      <w:pPr>
        <w:pStyle w:val="LOnormal"/>
        <w:spacing w:lineRule="auto" w:line="360" w:before="0" w:after="0"/>
        <w:ind w:left="90" w:hanging="0"/>
        <w:rPr/>
      </w:pPr>
      <w:r>
        <w:rPr>
          <w:rFonts w:eastAsia="Times New Roman" w:cs="Times New Roman" w:ascii="Times New Roman" w:hAnsi="Times New Roman"/>
          <w:b/>
          <w:bCs/>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color w:val="222222"/>
          <w:sz w:val="24"/>
          <w:szCs w:val="24"/>
          <w:highlight w:val="white"/>
        </w:rPr>
        <w:t xml:space="preserve">Journal of Integrative Agriculture </w:t>
      </w:r>
      <w:r>
        <w:rPr>
          <w:rFonts w:eastAsia="Times New Roman" w:cs="Times New Roman" w:ascii="Times New Roman" w:hAnsi="Times New Roman"/>
          <w:b/>
          <w:bCs/>
          <w:sz w:val="24"/>
          <w:szCs w:val="24"/>
        </w:rPr>
        <w:t>16</w:t>
      </w:r>
      <w:r>
        <w:rPr>
          <w:rFonts w:eastAsia="Times New Roman" w:cs="Times New Roman" w:ascii="Times New Roman" w:hAnsi="Times New Roman"/>
          <w:sz w:val="24"/>
          <w:szCs w:val="24"/>
        </w:rPr>
        <w:t>: 2746–2760.</w:t>
      </w:r>
    </w:p>
    <w:p>
      <w:pPr>
        <w:pStyle w:val="LO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0" w:after="0"/>
        <w:ind w:left="90" w:hanging="0"/>
        <w:rPr/>
      </w:pPr>
      <w:r>
        <w:rPr>
          <w:rFonts w:eastAsia="Times New Roman" w:cs="Times New Roman" w:ascii="Times New Roman" w:hAnsi="Times New Roman"/>
          <w:b/>
          <w:bCs/>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iCs/>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28</w:t>
      </w:r>
      <w:r>
        <w:rPr>
          <w:rFonts w:eastAsia="Times New Roman" w:cs="Times New Roman" w:ascii="Times New Roman" w:hAnsi="Times New Roman"/>
          <w:sz w:val="24"/>
          <w:szCs w:val="24"/>
        </w:rPr>
        <w:t>: 1382-1392.</w:t>
      </w:r>
    </w:p>
    <w:p>
      <w:pPr>
        <w:pStyle w:val="LO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0" w:after="0"/>
        <w:ind w:left="90" w:hanging="0"/>
        <w:rPr/>
      </w:pPr>
      <w:r>
        <w:rPr>
          <w:rFonts w:eastAsia="Times New Roman" w:cs="Times New Roman" w:ascii="Times New Roman" w:hAnsi="Times New Roman"/>
          <w:b/>
          <w:bCs/>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iCs/>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803-812.</w:t>
      </w:r>
    </w:p>
    <w:p>
      <w:pPr>
        <w:pStyle w:val="LO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0" w:after="0"/>
        <w:ind w:left="90" w:hanging="0"/>
        <w:rPr/>
      </w:pPr>
      <w:r>
        <w:rPr>
          <w:rFonts w:eastAsia="Times New Roman" w:cs="Times New Roman" w:ascii="Times New Roman" w:hAnsi="Times New Roman"/>
          <w:b/>
          <w:bCs/>
          <w:sz w:val="24"/>
          <w:szCs w:val="24"/>
        </w:rPr>
        <w:t>Wickham 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LO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0" w:after="0"/>
        <w:ind w:left="90" w:hanging="0"/>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LO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iCs/>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iCs/>
          <w:sz w:val="24"/>
          <w:szCs w:val="24"/>
        </w:rPr>
        <w:t xml:space="preserve">New Phytologist </w:t>
      </w:r>
      <w:r>
        <w:rPr>
          <w:rFonts w:eastAsia="Times New Roman" w:cs="Times New Roman" w:ascii="Times New Roman" w:hAnsi="Times New Roman"/>
          <w:b/>
          <w:bCs/>
          <w:sz w:val="24"/>
          <w:szCs w:val="24"/>
        </w:rPr>
        <w:t>206</w:t>
      </w:r>
      <w:r>
        <w:rPr>
          <w:rFonts w:eastAsia="Times New Roman" w:cs="Times New Roman" w:ascii="Times New Roman" w:hAnsi="Times New Roman"/>
          <w:sz w:val="24"/>
          <w:szCs w:val="24"/>
        </w:rPr>
        <w:t>: 1463-1475.</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iCs/>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27</w:t>
      </w:r>
      <w:r>
        <w:rPr>
          <w:rFonts w:eastAsia="Times New Roman" w:cs="Times New Roman" w:ascii="Times New Roman" w:hAnsi="Times New Roman"/>
          <w:sz w:val="24"/>
          <w:szCs w:val="24"/>
        </w:rPr>
        <w:t>: 759-769.</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iCs/>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bCs/>
          <w:sz w:val="24"/>
          <w:szCs w:val="24"/>
        </w:rPr>
        <w:t>97</w:t>
      </w:r>
      <w:r>
        <w:rPr>
          <w:rFonts w:eastAsia="Times New Roman" w:cs="Times New Roman" w:ascii="Times New Roman" w:hAnsi="Times New Roman"/>
          <w:sz w:val="24"/>
          <w:szCs w:val="24"/>
        </w:rPr>
        <w:t xml:space="preserve">: 491- 495.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iCs/>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101</w:t>
      </w:r>
      <w:r>
        <w:rPr>
          <w:rFonts w:eastAsia="Times New Roman" w:cs="Times New Roman" w:ascii="Times New Roman" w:hAnsi="Times New Roman"/>
          <w:sz w:val="24"/>
          <w:szCs w:val="24"/>
        </w:rPr>
        <w:t>: 557-561.</w:t>
      </w:r>
    </w:p>
    <w:p>
      <w:pPr>
        <w:pStyle w:val="LOnormal"/>
        <w:spacing w:lineRule="auto" w:line="360"/>
        <w:ind w:left="90" w:hanging="0"/>
        <w:jc w:val="both"/>
        <w:rPr/>
      </w:pPr>
      <w:r>
        <w:rPr>
          <w:rFonts w:eastAsia="Times New Roman" w:cs="Times New Roman" w:ascii="Times New Roman" w:hAnsi="Times New Roman"/>
          <w:b/>
          <w:bCs/>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21</w:t>
      </w:r>
      <w:r>
        <w:rPr>
          <w:rFonts w:eastAsia="Times New Roman" w:cs="Times New Roman" w:ascii="Times New Roman" w:hAnsi="Times New Roman"/>
          <w:sz w:val="24"/>
          <w:szCs w:val="24"/>
        </w:rPr>
        <w:t xml:space="preserve">: 1573-1591. </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iCs/>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iCs/>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iCs/>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iCs/>
          <w:color w:val="222222"/>
          <w:sz w:val="24"/>
          <w:szCs w:val="24"/>
        </w:rPr>
        <w:t xml:space="preserve">Scientific Reports </w:t>
      </w:r>
      <w:r>
        <w:rPr>
          <w:rFonts w:eastAsia="Times New Roman" w:cs="Times New Roman" w:ascii="Times New Roman" w:hAnsi="Times New Roman"/>
          <w:b/>
          <w:bCs/>
          <w:color w:val="222222"/>
          <w:sz w:val="24"/>
          <w:szCs w:val="24"/>
        </w:rPr>
        <w:t>5</w:t>
      </w:r>
      <w:r>
        <w:rPr>
          <w:rFonts w:eastAsia="Times New Roman" w:cs="Times New Roman" w:ascii="Times New Roman" w:hAnsi="Times New Roman"/>
          <w:color w:val="222222"/>
          <w:sz w:val="24"/>
          <w:szCs w:val="24"/>
        </w:rPr>
        <w:t>: 1642.</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iCs/>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iCs/>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bCs/>
          <w:color w:val="222222"/>
          <w:sz w:val="24"/>
          <w:szCs w:val="24"/>
        </w:rPr>
        <w:t>104</w:t>
      </w:r>
      <w:r>
        <w:rPr>
          <w:rFonts w:eastAsia="Times New Roman" w:cs="Times New Roman" w:ascii="Times New Roman" w:hAnsi="Times New Roman"/>
          <w:color w:val="222222"/>
          <w:sz w:val="24"/>
          <w:szCs w:val="24"/>
        </w:rPr>
        <w:t>: 717-723.</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iCs/>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w:t>
      </w:r>
      <w:r>
        <w:rPr>
          <w:rFonts w:eastAsia="Times New Roman" w:cs="Times New Roman" w:ascii="Times New Roman" w:hAnsi="Times New Roman"/>
          <w:sz w:val="24"/>
          <w:szCs w:val="24"/>
        </w:rPr>
        <w:t xml:space="preserve">resistance. </w:t>
      </w:r>
      <w:r>
        <w:rPr>
          <w:rFonts w:eastAsia="Times New Roman" w:cs="Times New Roman" w:ascii="Times New Roman" w:hAnsi="Times New Roman"/>
          <w:i/>
          <w:iCs/>
          <w:color w:val="222222"/>
          <w:sz w:val="24"/>
          <w:szCs w:val="24"/>
        </w:rPr>
        <w:t>Nature communications</w:t>
      </w:r>
      <w:r>
        <w:rPr>
          <w:rFonts w:eastAsia="Times New Roman" w:cs="Times New Roman" w:ascii="Times New Roman" w:hAnsi="Times New Roman"/>
          <w:b/>
          <w:bCs/>
          <w:color w:val="222222"/>
          <w:sz w:val="24"/>
          <w:szCs w:val="24"/>
        </w:rPr>
        <w:t xml:space="preserve"> 9</w:t>
      </w:r>
      <w:r>
        <w:rPr>
          <w:rFonts w:eastAsia="Times New Roman" w:cs="Times New Roman" w:ascii="Times New Roman" w:hAnsi="Times New Roman"/>
          <w:color w:val="222222"/>
          <w:sz w:val="24"/>
          <w:szCs w:val="24"/>
        </w:rPr>
        <w:t>: 2039.</w:t>
      </w:r>
    </w:p>
    <w:p>
      <w:pPr>
        <w:pStyle w:val="LOnormal"/>
        <w:spacing w:lineRule="auto" w:line="360"/>
        <w:ind w:left="90" w:hanging="0"/>
        <w:jc w:val="both"/>
        <w:rPr/>
      </w:pPr>
      <w:r>
        <w:rPr>
          <w:rFonts w:eastAsia="Times New Roman" w:cs="Times New Roman" w:ascii="Times New Roman" w:hAnsi="Times New Roman"/>
          <w:b/>
          <w:bCs/>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iCs/>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iCs/>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iCs/>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44</w:t>
      </w:r>
      <w:r>
        <w:rPr>
          <w:rFonts w:eastAsia="Times New Roman" w:cs="Times New Roman" w:ascii="Times New Roman" w:hAnsi="Times New Roman"/>
          <w:sz w:val="24"/>
          <w:szCs w:val="24"/>
        </w:rPr>
        <w:t xml:space="preserve">: 1024-1034. </w:t>
      </w:r>
    </w:p>
    <w:p>
      <w:pPr>
        <w:pStyle w:val="LOnormal"/>
        <w:rPr>
          <w:rFonts w:ascii="Times New Roman" w:hAnsi="Times New Roman" w:eastAsia="Times New Roman" w:cs="Times New Roman"/>
        </w:rPr>
      </w:pPr>
      <w:r>
        <w:rPr>
          <w:rFonts w:eastAsia="Times New Roman" w:cs="Times New Roman" w:ascii="Times New Roman" w:hAnsi="Times New Roman"/>
        </w:rPr>
      </w:r>
      <w:r>
        <w:br w:type="page"/>
      </w:r>
    </w:p>
    <w:p>
      <w:pPr>
        <w:pStyle w:val="LOnormal"/>
        <w:spacing w:lineRule="auto" w:line="360"/>
        <w:jc w:val="both"/>
        <w:rPr/>
      </w:pPr>
      <w:r>
        <w:rPr>
          <w:rFonts w:eastAsia="Times New Roman" w:cs="Times New Roman" w:ascii="Times New Roman" w:hAnsi="Times New Roman"/>
          <w:b/>
          <w:bCs/>
          <w:sz w:val="24"/>
          <w:szCs w:val="24"/>
        </w:rPr>
        <w:t>Supporting information</w:t>
      </w:r>
    </w:p>
    <w:p>
      <w:pPr>
        <w:pStyle w:val="LOnormal"/>
        <w:spacing w:lineRule="auto" w:line="360" w:before="120" w:after="0"/>
        <w:jc w:val="both"/>
        <w:rPr/>
      </w:pPr>
      <w:r>
        <w:rPr>
          <w:rFonts w:eastAsia="Times New Roman" w:cs="Times New Roman" w:ascii="Times New Roman" w:hAnsi="Times New Roman"/>
          <w:b/>
          <w:bCs/>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iCs/>
          <w:color w:val="000000"/>
          <w:sz w:val="24"/>
          <w:szCs w:val="24"/>
        </w:rPr>
        <w:t>M. oryzae</w:t>
      </w:r>
    </w:p>
    <w:p>
      <w:pPr>
        <w:pStyle w:val="LOnormal"/>
        <w:spacing w:lineRule="auto" w:line="360" w:before="120" w:after="0"/>
        <w:jc w:val="both"/>
        <w:rPr/>
      </w:pPr>
      <w:r>
        <w:rPr>
          <w:rFonts w:eastAsia="Times New Roman" w:cs="Times New Roman" w:ascii="Times New Roman" w:hAnsi="Times New Roman"/>
          <w:b/>
          <w:bCs/>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LOnormal"/>
        <w:spacing w:lineRule="auto" w:line="360" w:before="120" w:after="0"/>
        <w:jc w:val="both"/>
        <w:rPr/>
      </w:pPr>
      <w:r>
        <w:rPr>
          <w:rFonts w:eastAsia="Times New Roman" w:cs="Times New Roman" w:ascii="Times New Roman" w:hAnsi="Times New Roman"/>
          <w:b/>
          <w:bCs/>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LOnormal"/>
        <w:spacing w:lineRule="auto" w:line="360" w:before="120" w:after="0"/>
        <w:jc w:val="both"/>
        <w:rPr/>
      </w:pPr>
      <w:r>
        <w:rPr>
          <w:rFonts w:eastAsia="Times New Roman" w:cs="Times New Roman" w:ascii="Times New Roman" w:hAnsi="Times New Roman"/>
          <w:b/>
          <w:bCs/>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LO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120" w:after="0"/>
        <w:jc w:val="both"/>
        <w:rPr/>
      </w:pP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w:t>
      </w:r>
    </w:p>
    <w:p>
      <w:pPr>
        <w:pStyle w:val="LOnormal"/>
        <w:spacing w:lineRule="auto" w:line="360" w:before="120" w:after="0"/>
        <w:jc w:val="both"/>
        <w:rPr/>
      </w:pPr>
      <w:r>
        <w:rPr>
          <w:rFonts w:eastAsia="Times New Roman" w:cs="Times New Roman" w:ascii="Times New Roman" w:hAnsi="Times New Roman"/>
          <w:b/>
          <w:bCs/>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LOnormal"/>
        <w:spacing w:lineRule="auto" w:line="360" w:before="120" w:after="0"/>
        <w:jc w:val="both"/>
        <w:rPr/>
      </w:pPr>
      <w:r>
        <w:rPr>
          <w:rFonts w:eastAsia="Times New Roman" w:cs="Times New Roman" w:ascii="Times New Roman" w:hAnsi="Times New Roman"/>
          <w:b/>
          <w:bCs/>
          <w:sz w:val="24"/>
          <w:szCs w:val="24"/>
        </w:rPr>
        <w:t>Table S3</w:t>
      </w:r>
      <w:r>
        <w:rPr>
          <w:rFonts w:eastAsia="Times New Roman" w:cs="Times New Roman" w:ascii="Times New Roman" w:hAnsi="Times New Roman"/>
          <w:sz w:val="24"/>
          <w:szCs w:val="24"/>
        </w:rPr>
        <w:t xml:space="preserve"> Rice acreage by variety, year, and U.S. state.</w:t>
      </w:r>
    </w:p>
    <w:p>
      <w:pPr>
        <w:pStyle w:val="LOnormal"/>
        <w:spacing w:lineRule="auto" w:line="360" w:before="120" w:after="0"/>
        <w:jc w:val="both"/>
        <w:rPr/>
      </w:pPr>
      <w:r>
        <w:rPr>
          <w:rFonts w:eastAsia="Times New Roman" w:cs="Times New Roman" w:ascii="Times New Roman" w:hAnsi="Times New Roman"/>
          <w:b/>
          <w:bCs/>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LO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360" w:before="120" w:after="0"/>
        <w:rPr/>
      </w:pPr>
      <w:r>
        <w:rPr>
          <w:rFonts w:eastAsia="Times New Roman" w:cs="Times New Roman" w:ascii="Times New Roman" w:hAnsi="Times New Roman"/>
          <w:b/>
          <w:bCs/>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 </w:t>
      </w:r>
      <w:r>
        <w:rPr>
          <w:rFonts w:eastAsia="Times New Roman" w:cs="Times New Roman" w:ascii="Times New Roman" w:hAnsi="Times New Roman"/>
          <w:sz w:val="24"/>
          <w:szCs w:val="24"/>
          <w:shd w:fill="FFFF00" w:val="clear"/>
        </w:rPr>
        <w:t>The SSR marker names start with “pyrm_”.</w:t>
      </w:r>
    </w:p>
    <w:p>
      <w:pPr>
        <w:pStyle w:val="LOnormal"/>
        <w:spacing w:lineRule="auto" w:line="360" w:before="120" w:after="0"/>
        <w:rPr/>
      </w:pP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 </w:t>
      </w:r>
      <w:r>
        <w:rPr>
          <w:rFonts w:eastAsia="Times New Roman" w:cs="Times New Roman" w:ascii="Times New Roman" w:hAnsi="Times New Roman"/>
          <w:sz w:val="24"/>
          <w:szCs w:val="24"/>
          <w:shd w:fill="FFFF00" w:val="clear"/>
        </w:rPr>
        <w:t>Sample IDs have been provided with the NCBI sample (SRR) and project (PRJNA) identifies.</w:t>
      </w:r>
    </w:p>
    <w:p>
      <w:pPr>
        <w:pStyle w:val="LOnormal"/>
        <w:spacing w:lineRule="auto" w:line="360" w:before="120" w:after="0"/>
        <w:rPr/>
      </w:pPr>
      <w:r>
        <w:rPr>
          <w:rFonts w:eastAsia="Times New Roman" w:cs="Times New Roman" w:ascii="Times New Roman" w:hAnsi="Times New Roman"/>
          <w:b/>
          <w:bCs/>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 </w:t>
      </w:r>
      <w:r>
        <w:rPr>
          <w:rFonts w:eastAsia="Times New Roman" w:cs="Times New Roman" w:ascii="Times New Roman" w:hAnsi="Times New Roman"/>
          <w:sz w:val="24"/>
          <w:szCs w:val="24"/>
          <w:shd w:fill="FFFF00" w:val="clear"/>
        </w:rPr>
        <w:t>The interpolated values were calculated using linearization when year-state combinations were missing.</w:t>
      </w:r>
    </w:p>
    <w:p>
      <w:pPr>
        <w:pStyle w:val="LOnormal"/>
        <w:spacing w:lineRule="auto" w:line="360" w:before="120" w:after="0"/>
        <w:rPr/>
      </w:pPr>
      <w:r>
        <w:rPr>
          <w:rFonts w:eastAsia="Times New Roman" w:cs="Times New Roman" w:ascii="Times New Roman" w:hAnsi="Times New Roman"/>
          <w:b/>
          <w:bCs/>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in the present study - source data for Fig. 4A</w:t>
      </w:r>
      <w:r>
        <w:rPr>
          <w:rFonts w:eastAsia="Times New Roman" w:cs="Times New Roman" w:ascii="Times New Roman" w:hAnsi="Times New Roman"/>
          <w:sz w:val="24"/>
          <w:szCs w:val="24"/>
          <w:shd w:fill="FFFF00" w:val="clear"/>
        </w:rPr>
        <w:t>, given in nucleotide coodinates in the coding sequence.</w:t>
      </w:r>
    </w:p>
    <w:p>
      <w:pPr>
        <w:pStyle w:val="LOnormal"/>
        <w:spacing w:lineRule="auto" w:line="360" w:before="120" w:after="0"/>
        <w:rPr/>
      </w:pPr>
      <w:r>
        <w:rPr>
          <w:rFonts w:eastAsia="Times New Roman" w:cs="Times New Roman" w:ascii="Times New Roman" w:hAnsi="Times New Roman"/>
          <w:b/>
          <w:bCs/>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in the present study - source data for Fig. 4B</w:t>
      </w:r>
      <w:r>
        <w:rPr>
          <w:rFonts w:eastAsia="Times New Roman" w:cs="Times New Roman" w:ascii="Times New Roman" w:hAnsi="Times New Roman"/>
          <w:sz w:val="24"/>
          <w:szCs w:val="24"/>
          <w:shd w:fill="FFFF00" w:val="clear"/>
        </w:rPr>
        <w:t>, given in nucleotide coodinates in the coding sequence.</w:t>
      </w:r>
    </w:p>
    <w:p>
      <w:pPr>
        <w:pStyle w:val="LOnormal"/>
        <w:spacing w:lineRule="auto" w:line="360" w:before="120" w:after="0"/>
        <w:rPr/>
      </w:pPr>
      <w:r>
        <w:rPr>
          <w:rFonts w:eastAsia="Times New Roman" w:cs="Times New Roman" w:ascii="Times New Roman" w:hAnsi="Times New Roman"/>
          <w:b/>
          <w:bCs/>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iCs/>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LOnormal"/>
        <w:spacing w:lineRule="auto" w:line="360" w:before="120" w:after="0"/>
        <w:rPr/>
      </w:pPr>
      <w:r>
        <w:rPr>
          <w:rFonts w:eastAsia="Times New Roman" w:cs="Times New Roman" w:ascii="Times New Roman" w:hAnsi="Times New Roman"/>
          <w:b/>
          <w:bCs/>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resequencing libraries.</w:t>
      </w:r>
      <w:r>
        <w:br w:type="page"/>
      </w:r>
    </w:p>
    <w:p>
      <w:pPr>
        <w:pStyle w:val="LOnormal"/>
        <w:spacing w:lineRule="auto" w:line="360"/>
        <w:jc w:val="both"/>
        <w:rPr/>
      </w:pPr>
      <w:r>
        <w:rPr>
          <w:rFonts w:eastAsia="Times New Roman" w:cs="Times New Roman" w:ascii="Times New Roman" w:hAnsi="Times New Roman"/>
          <w:b/>
          <w:bCs/>
          <w:sz w:val="24"/>
          <w:szCs w:val="24"/>
        </w:rPr>
        <w:t>Figure legends</w:t>
      </w:r>
    </w:p>
    <w:p>
      <w:pPr>
        <w:pStyle w:val="LOnormal"/>
        <w:spacing w:lineRule="auto" w:line="360"/>
        <w:jc w:val="both"/>
        <w:rPr/>
      </w:pPr>
      <w:r>
        <w:rPr>
          <w:rFonts w:eastAsia="Times New Roman" w:cs="Times New Roman" w:ascii="Times New Roman" w:hAnsi="Times New Roman"/>
          <w:b/>
          <w:bCs/>
          <w:color w:val="000000"/>
          <w:sz w:val="24"/>
          <w:szCs w:val="24"/>
        </w:rPr>
        <w:t xml:space="preserve">Fig. </w:t>
      </w:r>
      <w:r>
        <w:rPr>
          <w:rFonts w:eastAsia="Times New Roman" w:cs="Times New Roman" w:ascii="Times New Roman" w:hAnsi="Times New Roman"/>
          <w:b/>
          <w:bCs/>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 xml:space="preserve">Population structure and </w:t>
      </w:r>
      <w:r>
        <w:rPr>
          <w:rFonts w:eastAsia="Times New Roman" w:cs="Times New Roman" w:ascii="Times New Roman" w:hAnsi="Times New Roman"/>
          <w:b/>
          <w:bCs/>
          <w:i/>
          <w:iCs/>
          <w:color w:val="000000"/>
          <w:sz w:val="24"/>
          <w:szCs w:val="24"/>
        </w:rPr>
        <w:t>AVR</w:t>
      </w:r>
      <w:r>
        <w:rPr>
          <w:rFonts w:eastAsia="Times New Roman" w:cs="Times New Roman" w:ascii="Times New Roman" w:hAnsi="Times New Roman"/>
          <w:b/>
          <w:bCs/>
          <w:color w:val="000000"/>
          <w:sz w:val="24"/>
          <w:szCs w:val="24"/>
        </w:rPr>
        <w:t xml:space="preserve"> gene </w:t>
      </w:r>
      <w:r>
        <w:rPr>
          <w:rFonts w:eastAsia="Times New Roman" w:cs="Times New Roman" w:ascii="Times New Roman" w:hAnsi="Times New Roman"/>
          <w:b/>
          <w:bCs/>
          <w:sz w:val="24"/>
          <w:szCs w:val="24"/>
        </w:rPr>
        <w:t xml:space="preserve">presence/absence </w:t>
      </w:r>
      <w:r>
        <w:rPr>
          <w:rFonts w:eastAsia="Times New Roman" w:cs="Times New Roman" w:ascii="Times New Roman" w:hAnsi="Times New Roman"/>
          <w:b/>
          <w:bCs/>
          <w:color w:val="000000"/>
          <w:sz w:val="24"/>
          <w:szCs w:val="24"/>
        </w:rPr>
        <w:t xml:space="preserve">of </w:t>
      </w:r>
      <w:r>
        <w:rPr>
          <w:rFonts w:eastAsia="Times New Roman" w:cs="Times New Roman" w:ascii="Times New Roman" w:hAnsi="Times New Roman"/>
          <w:b/>
          <w:bCs/>
          <w:sz w:val="24"/>
          <w:szCs w:val="24"/>
        </w:rPr>
        <w:t xml:space="preserve">383 single-spore isolates from the U.S. </w:t>
      </w:r>
      <w:r>
        <w:rPr>
          <w:rFonts w:eastAsia="Times New Roman" w:cs="Times New Roman" w:ascii="Times New Roman" w:hAnsi="Times New Roman"/>
          <w:b/>
          <w:bCs/>
          <w:i/>
          <w:iCs/>
          <w:color w:val="000000"/>
          <w:sz w:val="24"/>
          <w:szCs w:val="24"/>
        </w:rPr>
        <w:t>Mo</w:t>
      </w:r>
      <w:r>
        <w:rPr>
          <w:rFonts w:eastAsia="Times New Roman" w:cs="Times New Roman" w:ascii="Times New Roman" w:hAnsi="Times New Roman"/>
          <w:b/>
          <w:bCs/>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LOnormal"/>
        <w:spacing w:lineRule="auto" w:line="360"/>
        <w:jc w:val="both"/>
        <w:rPr/>
      </w:pPr>
      <w:bookmarkStart w:id="11" w:name="_sgxt57qi4rgm"/>
      <w:bookmarkEnd w:id="11"/>
      <w:r>
        <w:rPr>
          <w:rFonts w:eastAsia="Times New Roman" w:cs="Times New Roman" w:ascii="Times New Roman" w:hAnsi="Times New Roman"/>
          <w:b/>
          <w:bCs/>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Evolutionary dynamics of </w:t>
      </w:r>
      <w:r>
        <w:rPr>
          <w:rFonts w:eastAsia="Times New Roman" w:cs="Times New Roman" w:ascii="Times New Roman" w:hAnsi="Times New Roman"/>
          <w:b/>
          <w:bCs/>
          <w:i/>
          <w:iCs/>
          <w:sz w:val="24"/>
          <w:szCs w:val="24"/>
        </w:rPr>
        <w:t>AVR</w:t>
      </w:r>
      <w:r>
        <w:rPr>
          <w:rFonts w:eastAsia="Times New Roman" w:cs="Times New Roman" w:ascii="Times New Roman" w:hAnsi="Times New Roman"/>
          <w:b/>
          <w:bCs/>
          <w:sz w:val="24"/>
          <w:szCs w:val="24"/>
        </w:rPr>
        <w:t xml:space="preserve"> genes, </w:t>
      </w:r>
      <w:r>
        <w:rPr>
          <w:rFonts w:eastAsia="Times New Roman" w:cs="Times New Roman" w:ascii="Times New Roman" w:hAnsi="Times New Roman"/>
          <w:b/>
          <w:bCs/>
          <w:i/>
          <w:iCs/>
          <w:sz w:val="24"/>
          <w:szCs w:val="24"/>
        </w:rPr>
        <w:t>ACE1, AVR-Pia, AVR-Pii, AVR-Pita1, and AVR-Pizt</w:t>
      </w:r>
      <w:r>
        <w:rPr>
          <w:rFonts w:eastAsia="Times New Roman" w:cs="Times New Roman" w:ascii="Times New Roman" w:hAnsi="Times New Roman"/>
          <w:b/>
          <w:bCs/>
          <w:sz w:val="24"/>
          <w:szCs w:val="24"/>
        </w:rPr>
        <w:t>, in the Global (</w:t>
      </w:r>
      <w:r>
        <w:rPr>
          <w:rFonts w:eastAsia="Times New Roman" w:cs="Times New Roman" w:ascii="Times New Roman" w:hAnsi="Times New Roman"/>
          <w:b/>
          <w:bCs/>
          <w:i/>
          <w:iCs/>
          <w:sz w:val="24"/>
          <w:szCs w:val="24"/>
        </w:rPr>
        <w:t>n</w:t>
      </w:r>
      <w:r>
        <w:rPr>
          <w:rFonts w:eastAsia="Times New Roman" w:cs="Times New Roman" w:ascii="Times New Roman" w:hAnsi="Times New Roman"/>
          <w:b/>
          <w:bCs/>
          <w:sz w:val="24"/>
          <w:szCs w:val="24"/>
        </w:rPr>
        <w:t>=</w:t>
      </w:r>
      <w:r>
        <w:rPr>
          <w:rFonts w:eastAsia="Times New Roman" w:cs="Times New Roman" w:ascii="Times New Roman" w:hAnsi="Times New Roman"/>
          <w:b/>
          <w:bCs/>
          <w:sz w:val="24"/>
          <w:szCs w:val="24"/>
          <w:shd w:fill="FFFF00" w:val="clear"/>
        </w:rPr>
        <w:t>328</w:t>
      </w:r>
      <w:r>
        <w:rPr>
          <w:rFonts w:eastAsia="Times New Roman" w:cs="Times New Roman" w:ascii="Times New Roman" w:hAnsi="Times New Roman"/>
          <w:b/>
          <w:bCs/>
          <w:sz w:val="24"/>
          <w:szCs w:val="24"/>
        </w:rPr>
        <w:t>) and U.S. (</w:t>
      </w:r>
      <w:r>
        <w:rPr>
          <w:rFonts w:eastAsia="Times New Roman" w:cs="Times New Roman" w:ascii="Times New Roman" w:hAnsi="Times New Roman"/>
          <w:b/>
          <w:bCs/>
          <w:i/>
          <w:iCs/>
          <w:sz w:val="24"/>
          <w:szCs w:val="24"/>
        </w:rPr>
        <w:t>n</w:t>
      </w:r>
      <w:r>
        <w:rPr>
          <w:rFonts w:eastAsia="Times New Roman" w:cs="Times New Roman" w:ascii="Times New Roman" w:hAnsi="Times New Roman"/>
          <w:b/>
          <w:bCs/>
          <w:sz w:val="24"/>
          <w:szCs w:val="24"/>
        </w:rPr>
        <w:t>=</w:t>
      </w:r>
      <w:r>
        <w:rPr>
          <w:rFonts w:eastAsia="Times New Roman" w:cs="Times New Roman" w:ascii="Times New Roman" w:hAnsi="Times New Roman"/>
          <w:b/>
          <w:bCs/>
          <w:sz w:val="24"/>
          <w:szCs w:val="24"/>
          <w:shd w:fill="FFFF00" w:val="clear"/>
        </w:rPr>
        <w:t>824</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i/>
          <w:iCs/>
          <w:sz w:val="24"/>
          <w:szCs w:val="24"/>
        </w:rPr>
        <w:t>Mo</w:t>
      </w:r>
      <w:r>
        <w:rPr>
          <w:rFonts w:eastAsia="Times New Roman" w:cs="Times New Roman" w:ascii="Times New Roman" w:hAnsi="Times New Roman"/>
          <w:b/>
          <w:bCs/>
          <w:sz w:val="24"/>
          <w:szCs w:val="24"/>
        </w:rPr>
        <w:t xml:space="preserve"> populations in response to corresponding cognate </w:t>
      </w:r>
      <w:r>
        <w:rPr>
          <w:rFonts w:eastAsia="Times New Roman" w:cs="Times New Roman" w:ascii="Times New Roman" w:hAnsi="Times New Roman"/>
          <w:b/>
          <w:bCs/>
          <w:i/>
          <w:iCs/>
          <w:sz w:val="24"/>
          <w:szCs w:val="24"/>
        </w:rPr>
        <w:t>R</w:t>
      </w:r>
      <w:r>
        <w:rPr>
          <w:rFonts w:eastAsia="Times New Roman" w:cs="Times New Roman" w:ascii="Times New Roman" w:hAnsi="Times New Roman"/>
          <w:b/>
          <w:bCs/>
          <w:sz w:val="24"/>
          <w:szCs w:val="24"/>
        </w:rPr>
        <w:t xml:space="preserve"> genes, </w:t>
      </w:r>
      <w:r>
        <w:rPr>
          <w:rFonts w:eastAsia="Times New Roman" w:cs="Times New Roman" w:ascii="Times New Roman" w:hAnsi="Times New Roman"/>
          <w:b/>
          <w:bCs/>
          <w:i/>
          <w:iCs/>
          <w:sz w:val="24"/>
          <w:szCs w:val="24"/>
        </w:rPr>
        <w:t>pi-d, Pi-a, Pi-i, Pi-ta/Pi-ta2/Ptr, Pi-z,</w:t>
      </w:r>
      <w:r>
        <w:rPr>
          <w:rFonts w:eastAsia="Times New Roman" w:cs="Times New Roman" w:ascii="Times New Roman" w:hAnsi="Times New Roman"/>
          <w:b/>
          <w:bCs/>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with the exception of </w:t>
      </w:r>
      <w:r>
        <w:rPr>
          <w:rFonts w:eastAsia="Times New Roman" w:cs="Times New Roman" w:ascii="Times New Roman" w:hAnsi="Times New Roman"/>
          <w:i/>
          <w:iCs/>
          <w:sz w:val="24"/>
          <w:szCs w:val="24"/>
        </w:rPr>
        <w:t>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pi-d</w:t>
      </w:r>
      <w:r>
        <w:rPr>
          <w:rFonts w:eastAsia="Times New Roman" w:cs="Times New Roman" w:ascii="Times New Roman" w:hAnsi="Times New Roman"/>
          <w:sz w:val="24"/>
          <w:szCs w:val="24"/>
        </w:rPr>
        <w:t xml:space="preserve"> which are not cognates but still shown for completion.. Predicted prevalence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respectively, detected by either resequencing (Global) or PCR (B) detection methods</w:t>
      </w:r>
      <w:r>
        <w:rPr>
          <w:rFonts w:eastAsia="Times New Roman" w:cs="Times New Roman" w:ascii="Times New Roman" w:hAnsi="Times New Roman"/>
          <w:sz w:val="24"/>
          <w:szCs w:val="24"/>
          <w:shd w:fill="FFFF00" w:val="clear"/>
        </w:rPr>
        <w:t>, with points jittered to make individual samples more discernible</w:t>
      </w:r>
      <w:r>
        <w:rPr>
          <w:rFonts w:eastAsia="Times New Roman" w:cs="Times New Roman" w:ascii="Times New Roman" w:hAnsi="Times New Roman"/>
          <w:sz w:val="24"/>
          <w:szCs w:val="24"/>
        </w:rPr>
        <w:t xml:space="preserve">.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iCs/>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prevalence.</w:t>
      </w:r>
    </w:p>
    <w:p>
      <w:pPr>
        <w:pStyle w:val="LOnormal"/>
        <w:spacing w:lineRule="auto" w:line="360"/>
        <w:jc w:val="both"/>
        <w:rPr/>
      </w:pPr>
      <w:bookmarkStart w:id="12" w:name="_9knyd9hjg6yc"/>
      <w:bookmarkEnd w:id="12"/>
      <w:r>
        <w:rPr>
          <w:rFonts w:eastAsia="Times New Roman" w:cs="Times New Roman" w:ascii="Times New Roman" w:hAnsi="Times New Roman"/>
          <w:b/>
          <w:bCs/>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Evolutionary dynamics of </w:t>
      </w:r>
      <w:r>
        <w:rPr>
          <w:rFonts w:eastAsia="Times New Roman" w:cs="Times New Roman" w:ascii="Times New Roman" w:hAnsi="Times New Roman"/>
          <w:b/>
          <w:bCs/>
          <w:i/>
          <w:iCs/>
          <w:sz w:val="24"/>
          <w:szCs w:val="24"/>
        </w:rPr>
        <w:t>AVR</w:t>
      </w:r>
      <w:r>
        <w:rPr>
          <w:rFonts w:eastAsia="Times New Roman" w:cs="Times New Roman" w:ascii="Times New Roman" w:hAnsi="Times New Roman"/>
          <w:b/>
          <w:bCs/>
          <w:sz w:val="24"/>
          <w:szCs w:val="24"/>
        </w:rPr>
        <w:t xml:space="preserve"> gene, </w:t>
      </w:r>
      <w:r>
        <w:rPr>
          <w:rFonts w:eastAsia="Times New Roman" w:cs="Times New Roman" w:ascii="Times New Roman" w:hAnsi="Times New Roman"/>
          <w:b/>
          <w:bCs/>
          <w:i/>
          <w:iCs/>
          <w:sz w:val="24"/>
          <w:szCs w:val="24"/>
        </w:rPr>
        <w:t>AVR-Piks</w:t>
      </w:r>
      <w:r>
        <w:rPr>
          <w:rFonts w:eastAsia="Times New Roman" w:cs="Times New Roman" w:ascii="Times New Roman" w:hAnsi="Times New Roman"/>
          <w:b/>
          <w:bCs/>
          <w:sz w:val="24"/>
          <w:szCs w:val="24"/>
        </w:rPr>
        <w:t>, in the Global (</w:t>
      </w:r>
      <w:r>
        <w:rPr>
          <w:rFonts w:eastAsia="Times New Roman" w:cs="Times New Roman" w:ascii="Times New Roman" w:hAnsi="Times New Roman"/>
          <w:b/>
          <w:bCs/>
          <w:i/>
          <w:iCs/>
          <w:sz w:val="24"/>
          <w:szCs w:val="24"/>
        </w:rPr>
        <w:t>n</w:t>
      </w:r>
      <w:r>
        <w:rPr>
          <w:rFonts w:eastAsia="Times New Roman" w:cs="Times New Roman" w:ascii="Times New Roman" w:hAnsi="Times New Roman"/>
          <w:b/>
          <w:bCs/>
          <w:sz w:val="24"/>
          <w:szCs w:val="24"/>
        </w:rPr>
        <w:t>=</w:t>
      </w:r>
      <w:r>
        <w:rPr>
          <w:rFonts w:eastAsia="Times New Roman" w:cs="Times New Roman" w:ascii="Times New Roman" w:hAnsi="Times New Roman"/>
          <w:b/>
          <w:bCs/>
          <w:sz w:val="24"/>
          <w:szCs w:val="24"/>
          <w:shd w:fill="FFFF00" w:val="clear"/>
        </w:rPr>
        <w:t>328</w:t>
      </w:r>
      <w:r>
        <w:rPr>
          <w:rFonts w:eastAsia="Times New Roman" w:cs="Times New Roman" w:ascii="Times New Roman" w:hAnsi="Times New Roman"/>
          <w:b/>
          <w:bCs/>
          <w:sz w:val="24"/>
          <w:szCs w:val="24"/>
        </w:rPr>
        <w:t>) and U.S. (</w:t>
      </w:r>
      <w:r>
        <w:rPr>
          <w:rFonts w:eastAsia="Times New Roman" w:cs="Times New Roman" w:ascii="Times New Roman" w:hAnsi="Times New Roman"/>
          <w:b/>
          <w:bCs/>
          <w:i/>
          <w:iCs/>
          <w:sz w:val="24"/>
          <w:szCs w:val="24"/>
        </w:rPr>
        <w:t>n</w:t>
      </w:r>
      <w:r>
        <w:rPr>
          <w:rFonts w:eastAsia="Times New Roman" w:cs="Times New Roman" w:ascii="Times New Roman" w:hAnsi="Times New Roman"/>
          <w:b/>
          <w:bCs/>
          <w:sz w:val="24"/>
          <w:szCs w:val="24"/>
        </w:rPr>
        <w:t>=</w:t>
      </w:r>
      <w:r>
        <w:rPr>
          <w:rFonts w:eastAsia="Times New Roman" w:cs="Times New Roman" w:ascii="Times New Roman" w:hAnsi="Times New Roman"/>
          <w:b/>
          <w:bCs/>
          <w:sz w:val="24"/>
          <w:szCs w:val="24"/>
          <w:shd w:fill="FFFF00" w:val="clear"/>
        </w:rPr>
        <w:t>824</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i/>
          <w:iCs/>
          <w:sz w:val="24"/>
          <w:szCs w:val="24"/>
        </w:rPr>
        <w:t>Mo</w:t>
      </w:r>
      <w:r>
        <w:rPr>
          <w:rFonts w:eastAsia="Times New Roman" w:cs="Times New Roman" w:ascii="Times New Roman" w:hAnsi="Times New Roman"/>
          <w:b/>
          <w:bCs/>
          <w:sz w:val="24"/>
          <w:szCs w:val="24"/>
        </w:rPr>
        <w:t xml:space="preserve"> populations in response to cognate </w:t>
      </w:r>
      <w:r>
        <w:rPr>
          <w:rFonts w:eastAsia="Times New Roman" w:cs="Times New Roman" w:ascii="Times New Roman" w:hAnsi="Times New Roman"/>
          <w:b/>
          <w:bCs/>
          <w:i/>
          <w:iCs/>
          <w:sz w:val="24"/>
          <w:szCs w:val="24"/>
        </w:rPr>
        <w:t>R</w:t>
      </w:r>
      <w:r>
        <w:rPr>
          <w:rFonts w:eastAsia="Times New Roman" w:cs="Times New Roman" w:ascii="Times New Roman" w:hAnsi="Times New Roman"/>
          <w:b/>
          <w:bCs/>
          <w:sz w:val="24"/>
          <w:szCs w:val="24"/>
        </w:rPr>
        <w:t xml:space="preserve"> genes, </w:t>
      </w:r>
      <w:r>
        <w:rPr>
          <w:rFonts w:eastAsia="Times New Roman" w:cs="Times New Roman" w:ascii="Times New Roman" w:hAnsi="Times New Roman"/>
          <w:b/>
          <w:bCs/>
          <w:i/>
          <w:iCs/>
          <w:sz w:val="24"/>
          <w:szCs w:val="24"/>
        </w:rPr>
        <w:t>Pi-km and Pi-ks,</w:t>
      </w:r>
      <w:r>
        <w:rPr>
          <w:rFonts w:eastAsia="Times New Roman" w:cs="Times New Roman" w:ascii="Times New Roman" w:hAnsi="Times New Roman"/>
          <w:b/>
          <w:bCs/>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iCs/>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iCs/>
          <w:sz w:val="24"/>
          <w:szCs w:val="24"/>
        </w:rPr>
        <w:t xml:space="preserve"> </w:t>
      </w:r>
      <w:r>
        <w:rPr>
          <w:rFonts w:eastAsia="Times New Roman" w:cs="Times New Roman" w:ascii="Times New Roman" w:hAnsi="Times New Roman"/>
          <w:sz w:val="24"/>
          <w:szCs w:val="24"/>
        </w:rPr>
        <w:t>detected by either resequencing (Global) or PCR (B) detection methods</w:t>
      </w:r>
      <w:r>
        <w:rPr>
          <w:rFonts w:eastAsia="Times New Roman" w:cs="Times New Roman" w:ascii="Times New Roman" w:hAnsi="Times New Roman"/>
          <w:sz w:val="24"/>
          <w:szCs w:val="24"/>
          <w:shd w:fill="FFFF00" w:val="clear"/>
        </w:rPr>
        <w:t>, with points jittered to make individual samples more discernible</w:t>
      </w:r>
      <w:r>
        <w:rPr>
          <w:rFonts w:eastAsia="Times New Roman" w:cs="Times New Roman" w:ascii="Times New Roman" w:hAnsi="Times New Roman"/>
          <w:sz w:val="24"/>
          <w:szCs w:val="24"/>
        </w:rPr>
        <w:t xml:space="preserve">.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iCs/>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w:t>
      </w:r>
    </w:p>
    <w:p>
      <w:pPr>
        <w:pStyle w:val="LOnormal"/>
        <w:spacing w:lineRule="auto" w:line="360"/>
        <w:jc w:val="both"/>
        <w:rPr/>
      </w:pPr>
      <w:r>
        <w:rPr>
          <w:rFonts w:eastAsia="Times New Roman" w:cs="Times New Roman" w:ascii="Times New Roman" w:hAnsi="Times New Roman"/>
          <w:b/>
          <w:bCs/>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Genealogy and amino acid polymorphism of two </w:t>
      </w:r>
      <w:r>
        <w:rPr>
          <w:rFonts w:eastAsia="Times New Roman" w:cs="Times New Roman" w:ascii="Times New Roman" w:hAnsi="Times New Roman"/>
          <w:b/>
          <w:bCs/>
          <w:i/>
          <w:iCs/>
          <w:sz w:val="24"/>
          <w:szCs w:val="24"/>
        </w:rPr>
        <w:t>AVR</w:t>
      </w:r>
      <w:r>
        <w:rPr>
          <w:rFonts w:eastAsia="Times New Roman" w:cs="Times New Roman" w:ascii="Times New Roman" w:hAnsi="Times New Roman"/>
          <w:b/>
          <w:bCs/>
          <w:sz w:val="24"/>
          <w:szCs w:val="24"/>
        </w:rPr>
        <w:t xml:space="preserve"> genes, </w:t>
      </w:r>
      <w:r>
        <w:rPr>
          <w:rFonts w:eastAsia="Times New Roman" w:cs="Times New Roman" w:ascii="Times New Roman" w:hAnsi="Times New Roman"/>
          <w:b/>
          <w:bCs/>
          <w:i/>
          <w:iCs/>
          <w:sz w:val="24"/>
          <w:szCs w:val="24"/>
        </w:rPr>
        <w:t>AVR-Pita1</w:t>
      </w:r>
      <w:r>
        <w:rPr>
          <w:rFonts w:eastAsia="Times New Roman" w:cs="Times New Roman" w:ascii="Times New Roman" w:hAnsi="Times New Roman"/>
          <w:b/>
          <w:bCs/>
          <w:sz w:val="24"/>
          <w:szCs w:val="24"/>
        </w:rPr>
        <w:t xml:space="preserve"> and </w:t>
      </w:r>
      <w:r>
        <w:rPr>
          <w:rFonts w:eastAsia="Times New Roman" w:cs="Times New Roman" w:ascii="Times New Roman" w:hAnsi="Times New Roman"/>
          <w:b/>
          <w:bCs/>
          <w:i/>
          <w:iCs/>
          <w:sz w:val="24"/>
          <w:szCs w:val="24"/>
        </w:rPr>
        <w:t>AVR-Pik</w:t>
      </w:r>
      <w:r>
        <w:rPr>
          <w:rFonts w:eastAsia="Times New Roman" w:cs="Times New Roman" w:ascii="Times New Roman" w:hAnsi="Times New Roman"/>
          <w:b/>
          <w:bCs/>
          <w:sz w:val="24"/>
          <w:szCs w:val="24"/>
        </w:rPr>
        <w:t xml:space="preserve">, in the </w:t>
      </w:r>
      <w:r>
        <w:rPr>
          <w:rFonts w:eastAsia="Times New Roman" w:cs="Times New Roman" w:ascii="Times New Roman" w:hAnsi="Times New Roman"/>
          <w:b/>
          <w:bCs/>
          <w:i/>
          <w:iCs/>
          <w:sz w:val="24"/>
          <w:szCs w:val="24"/>
        </w:rPr>
        <w:t xml:space="preserve">Mo </w:t>
      </w:r>
      <w:r>
        <w:rPr>
          <w:rFonts w:eastAsia="Times New Roman" w:cs="Times New Roman" w:ascii="Times New Roman" w:hAnsi="Times New Roman"/>
          <w:b/>
          <w:bCs/>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iCs/>
          <w:sz w:val="24"/>
          <w:szCs w:val="24"/>
        </w:rPr>
        <w:t>AVR-Pita1</w:t>
      </w:r>
      <w:r>
        <w:rPr>
          <w:rFonts w:eastAsia="Times New Roman" w:cs="Times New Roman" w:ascii="Times New Roman" w:hAnsi="Times New Roman"/>
          <w:b/>
          <w:bCs/>
          <w:i/>
          <w:iCs/>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(D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 Occurrences of each protein haplotype, grouped by four key residues, are also shown in a time-line view (B and E) along with the corresponding amino acids at these codon positions (C and F). </w:t>
      </w:r>
      <w:r>
        <w:rPr>
          <w:rFonts w:eastAsia="Times New Roman" w:cs="Times New Roman" w:ascii="Times New Roman" w:hAnsi="Times New Roman"/>
          <w:sz w:val="24"/>
          <w:szCs w:val="24"/>
          <w:shd w:fill="FFFF00" w:val="clear"/>
        </w:rPr>
        <w:t>Lines connect the first and last observations of the haplotypes in this study,</w:t>
      </w:r>
    </w:p>
    <w:p>
      <w:pPr>
        <w:pStyle w:val="LOnormal"/>
        <w:spacing w:lineRule="auto" w:line="360"/>
        <w:jc w:val="both"/>
        <w:rPr/>
      </w:pPr>
      <w:r>
        <w:rPr>
          <w:rFonts w:eastAsia="Times New Roman" w:cs="Times New Roman" w:ascii="Times New Roman" w:hAnsi="Times New Roman"/>
          <w:b/>
          <w:bCs/>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Validation of the efficacy of </w:t>
      </w:r>
      <w:r>
        <w:rPr>
          <w:rFonts w:eastAsia="Times New Roman" w:cs="Times New Roman" w:ascii="Times New Roman" w:hAnsi="Times New Roman"/>
          <w:b/>
          <w:bCs/>
          <w:sz w:val="24"/>
          <w:szCs w:val="24"/>
          <w:shd w:fill="FFFF00" w:val="clear"/>
        </w:rPr>
        <w:t xml:space="preserve">an </w:t>
      </w:r>
      <w:r>
        <w:rPr>
          <w:rFonts w:eastAsia="Times New Roman" w:cs="Times New Roman" w:ascii="Times New Roman" w:hAnsi="Times New Roman"/>
          <w:b/>
          <w:bCs/>
          <w:i/>
          <w:iCs/>
          <w:sz w:val="24"/>
          <w:szCs w:val="24"/>
          <w:shd w:fill="FFFF00" w:val="clear"/>
        </w:rPr>
        <w:t>AVR</w:t>
      </w:r>
      <w:r>
        <w:rPr>
          <w:rFonts w:eastAsia="Times New Roman" w:cs="Times New Roman" w:ascii="Times New Roman" w:hAnsi="Times New Roman"/>
          <w:b/>
          <w:bCs/>
          <w:sz w:val="24"/>
          <w:szCs w:val="24"/>
          <w:shd w:fill="FFFF00" w:val="clear"/>
        </w:rPr>
        <w:t xml:space="preserve"> gene</w:t>
      </w:r>
      <w:r>
        <w:rPr>
          <w:rFonts w:eastAsia="Times New Roman" w:cs="Times New Roman" w:ascii="Times New Roman" w:hAnsi="Times New Roman"/>
          <w:b/>
          <w:bCs/>
          <w:sz w:val="24"/>
          <w:szCs w:val="24"/>
        </w:rPr>
        <w:t xml:space="preserve"> as an indicator for the resistance reaction of </w:t>
      </w:r>
      <w:r>
        <w:rPr>
          <w:rFonts w:eastAsia="Times New Roman" w:cs="Times New Roman" w:ascii="Times New Roman" w:hAnsi="Times New Roman"/>
          <w:b/>
          <w:bCs/>
          <w:sz w:val="24"/>
          <w:szCs w:val="24"/>
          <w:shd w:fill="FFFF00" w:val="clear"/>
        </w:rPr>
        <w:t xml:space="preserve">its cognate </w:t>
      </w:r>
      <w:r>
        <w:rPr>
          <w:rFonts w:eastAsia="Times New Roman" w:cs="Times New Roman" w:ascii="Times New Roman" w:hAnsi="Times New Roman"/>
          <w:b/>
          <w:bCs/>
          <w:i/>
          <w:iCs/>
          <w:sz w:val="24"/>
          <w:szCs w:val="24"/>
          <w:shd w:fill="FFFF00" w:val="clear"/>
        </w:rPr>
        <w:t>R</w:t>
      </w:r>
      <w:r>
        <w:rPr>
          <w:rFonts w:eastAsia="Times New Roman" w:cs="Times New Roman" w:ascii="Times New Roman" w:hAnsi="Times New Roman"/>
          <w:b/>
          <w:bCs/>
          <w:sz w:val="24"/>
          <w:szCs w:val="24"/>
          <w:shd w:fill="FFFF00" w:val="clear"/>
        </w:rPr>
        <w:t xml:space="preserve"> gene</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A) Blast disease symptoms of the representative rice varieties. The </w:t>
      </w:r>
      <w:r>
        <w:rPr>
          <w:rFonts w:eastAsia="Times New Roman" w:cs="Times New Roman" w:ascii="Times New Roman" w:hAnsi="Times New Roman"/>
          <w:i/>
          <w:iCs/>
          <w:sz w:val="24"/>
          <w:szCs w:val="24"/>
        </w:rPr>
        <w:t>Mo</w:t>
      </w:r>
      <w:r>
        <w:rPr>
          <w:rFonts w:eastAsia="Times New Roman" w:cs="Times New Roman" w:ascii="Times New Roman" w:hAnsi="Times New Roman"/>
          <w:sz w:val="24"/>
          <w:szCs w:val="24"/>
        </w:rPr>
        <w:t xml:space="preserve"> race IB49 (isolate ML1_2014) was used for inoculation. </w:t>
      </w:r>
      <w:r>
        <w:rPr>
          <w:rFonts w:eastAsia="Times New Roman" w:cs="Times New Roman" w:ascii="Times New Roman" w:hAnsi="Times New Roman"/>
          <w:sz w:val="24"/>
          <w:szCs w:val="24"/>
          <w:shd w:fill="FFFF00" w:val="clear"/>
        </w:rPr>
        <w:t xml:space="preserve">The images are shown only to demonstrate the range of symptoms in the experiment. </w:t>
      </w:r>
      <w:r>
        <w:rPr>
          <w:rFonts w:eastAsia="Times New Roman" w:cs="Times New Roman" w:ascii="Times New Roman" w:hAnsi="Times New Roman"/>
          <w:sz w:val="24"/>
          <w:szCs w:val="24"/>
        </w:rPr>
        <w:t xml:space="preserve">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differential lines and the susceptible control LTH. A total of 64 blast strains (Dataset S6) with different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were used to inoculate indicated rice genotypes.</w:t>
      </w:r>
    </w:p>
    <w:p>
      <w:pPr>
        <w:pStyle w:val="LOnormal"/>
        <w:spacing w:lineRule="auto" w:line="360"/>
        <w:jc w:val="both"/>
        <w:rPr/>
      </w:pPr>
      <w:r>
        <w:rPr>
          <w:rFonts w:eastAsia="Times New Roman" w:cs="Times New Roman" w:ascii="Times New Roman" w:hAnsi="Times New Roman"/>
          <w:b/>
          <w:bCs/>
          <w:sz w:val="24"/>
          <w:szCs w:val="24"/>
        </w:rPr>
        <w:t xml:space="preserve">Fig. S1. Evolutionary dynamics of AVR genes </w:t>
      </w:r>
      <w:r>
        <w:rPr>
          <w:rFonts w:eastAsia="Times New Roman" w:cs="Times New Roman" w:ascii="Times New Roman" w:hAnsi="Times New Roman"/>
          <w:b/>
          <w:bCs/>
          <w:i/>
          <w:iCs/>
          <w:sz w:val="24"/>
          <w:szCs w:val="24"/>
        </w:rPr>
        <w:t xml:space="preserve">AVR-Pi9 </w:t>
      </w:r>
      <w:r>
        <w:rPr>
          <w:rFonts w:eastAsia="Times New Roman" w:cs="Times New Roman" w:ascii="Times New Roman" w:hAnsi="Times New Roman"/>
          <w:b/>
          <w:bCs/>
          <w:sz w:val="24"/>
          <w:szCs w:val="24"/>
        </w:rPr>
        <w:t xml:space="preserve">and </w:t>
      </w:r>
      <w:r>
        <w:rPr>
          <w:rFonts w:eastAsia="Times New Roman" w:cs="Times New Roman" w:ascii="Times New Roman" w:hAnsi="Times New Roman"/>
          <w:b/>
          <w:bCs/>
          <w:i/>
          <w:iCs/>
          <w:sz w:val="24"/>
          <w:szCs w:val="24"/>
        </w:rPr>
        <w:t>AVR-Pib</w:t>
      </w:r>
      <w:r>
        <w:rPr>
          <w:rFonts w:eastAsia="Times New Roman" w:cs="Times New Roman" w:ascii="Times New Roman" w:hAnsi="Times New Roman"/>
          <w:b/>
          <w:bCs/>
          <w:sz w:val="24"/>
          <w:szCs w:val="24"/>
        </w:rPr>
        <w:t xml:space="preserve">, with cognate rice </w:t>
      </w:r>
      <w:r>
        <w:rPr>
          <w:rFonts w:eastAsia="Times New Roman" w:cs="Times New Roman" w:ascii="Times New Roman" w:hAnsi="Times New Roman"/>
          <w:b/>
          <w:bCs/>
          <w:i/>
          <w:iCs/>
          <w:sz w:val="24"/>
          <w:szCs w:val="24"/>
        </w:rPr>
        <w:t>R</w:t>
      </w:r>
      <w:r>
        <w:rPr>
          <w:rFonts w:eastAsia="Times New Roman" w:cs="Times New Roman" w:ascii="Times New Roman" w:hAnsi="Times New Roman"/>
          <w:b/>
          <w:bCs/>
          <w:sz w:val="24"/>
          <w:szCs w:val="24"/>
        </w:rPr>
        <w:t xml:space="preserve"> gene </w:t>
      </w:r>
      <w:r>
        <w:rPr>
          <w:rFonts w:eastAsia="Times New Roman" w:cs="Times New Roman" w:ascii="Times New Roman" w:hAnsi="Times New Roman"/>
          <w:b/>
          <w:bCs/>
          <w:i/>
          <w:iCs/>
          <w:sz w:val="24"/>
          <w:szCs w:val="24"/>
        </w:rPr>
        <w:t>Pi-b</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See Figures 2 and 3 for an in-depth description.</w:t>
      </w:r>
    </w:p>
    <w:p>
      <w:pPr>
        <w:pStyle w:val="LOnormal"/>
        <w:spacing w:lineRule="auto" w:line="360"/>
        <w:jc w:val="both"/>
        <w:rPr/>
      </w:pPr>
      <w:r>
        <w:rPr>
          <w:rFonts w:eastAsia="Times New Roman" w:cs="Times New Roman" w:ascii="Times New Roman" w:hAnsi="Times New Roman"/>
          <w:b/>
          <w:bCs/>
          <w:sz w:val="24"/>
          <w:szCs w:val="24"/>
        </w:rPr>
        <w:t xml:space="preserve">Fig. S2. Changes in the frequency of non-cognate AVR gene </w:t>
      </w:r>
      <w:r>
        <w:rPr>
          <w:rFonts w:eastAsia="Times New Roman" w:cs="Times New Roman" w:ascii="Times New Roman" w:hAnsi="Times New Roman"/>
          <w:b/>
          <w:bCs/>
          <w:i/>
          <w:iCs/>
          <w:sz w:val="24"/>
          <w:szCs w:val="24"/>
        </w:rPr>
        <w:t>ACE1</w:t>
      </w:r>
      <w:r>
        <w:rPr>
          <w:rFonts w:eastAsia="Times New Roman" w:cs="Times New Roman" w:ascii="Times New Roman" w:hAnsi="Times New Roman"/>
          <w:b/>
          <w:bCs/>
          <w:i w:val="false"/>
          <w:iCs w:val="false"/>
          <w:sz w:val="24"/>
          <w:szCs w:val="24"/>
        </w:rPr>
        <w:t xml:space="preserve"> and </w:t>
      </w:r>
      <w:r>
        <w:rPr>
          <w:rFonts w:eastAsia="Times New Roman" w:cs="Times New Roman" w:ascii="Times New Roman" w:hAnsi="Times New Roman"/>
          <w:b/>
          <w:bCs/>
          <w:i/>
          <w:iCs/>
          <w:sz w:val="24"/>
          <w:szCs w:val="24"/>
        </w:rPr>
        <w:t>R</w:t>
      </w:r>
      <w:r>
        <w:rPr>
          <w:rFonts w:eastAsia="Times New Roman" w:cs="Times New Roman" w:ascii="Times New Roman" w:hAnsi="Times New Roman"/>
          <w:b/>
          <w:bCs/>
          <w:i w:val="false"/>
          <w:iCs w:val="false"/>
          <w:sz w:val="24"/>
          <w:szCs w:val="24"/>
        </w:rPr>
        <w:t xml:space="preserve"> gene </w:t>
      </w:r>
      <w:r>
        <w:rPr>
          <w:rFonts w:eastAsia="Times New Roman" w:cs="Times New Roman" w:ascii="Times New Roman" w:hAnsi="Times New Roman"/>
          <w:b/>
          <w:bCs/>
          <w:i/>
          <w:iCs/>
          <w:sz w:val="24"/>
          <w:szCs w:val="24"/>
        </w:rPr>
        <w:t>Pi-d</w:t>
      </w:r>
      <w:r>
        <w:rPr>
          <w:rFonts w:eastAsia="Times New Roman" w:cs="Times New Roman" w:ascii="Times New Roman" w:hAnsi="Times New Roman"/>
          <w:b/>
          <w:bCs/>
          <w:i w:val="false"/>
          <w:iCs w:val="false"/>
          <w:sz w:val="24"/>
          <w:szCs w:val="24"/>
        </w:rPr>
        <w:t xml:space="preserve">. See </w:t>
      </w:r>
      <w:r>
        <w:rPr>
          <w:rFonts w:eastAsia="Times New Roman" w:cs="Times New Roman" w:ascii="Times New Roman" w:hAnsi="Times New Roman"/>
          <w:b w:val="false"/>
          <w:bCs w:val="false"/>
          <w:i w:val="false"/>
          <w:iCs w:val="false"/>
          <w:sz w:val="24"/>
          <w:szCs w:val="24"/>
        </w:rPr>
        <w:t>Figures 2 and 3 for an in-depth description.</w:t>
      </w:r>
      <w:r>
        <w:br w:type="page"/>
      </w:r>
    </w:p>
    <w:p>
      <w:pPr>
        <w:pStyle w:val="LOnormal"/>
        <w:spacing w:lineRule="auto" w:line="360"/>
        <w:jc w:val="both"/>
        <w:rPr/>
      </w:pPr>
      <w:r>
        <w:rPr/>
        <w:drawing>
          <wp:inline distT="0" distB="0" distL="0" distR="0">
            <wp:extent cx="5909310" cy="235839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2"/>
                    <a:srcRect l="0" t="106" r="0" b="106"/>
                    <a:stretch>
                      <a:fillRect/>
                    </a:stretch>
                  </pic:blipFill>
                  <pic:spPr bwMode="auto">
                    <a:xfrm>
                      <a:off x="0" y="0"/>
                      <a:ext cx="5909310" cy="2358390"/>
                    </a:xfrm>
                    <a:prstGeom prst="rect">
                      <a:avLst/>
                    </a:prstGeom>
                  </pic:spPr>
                </pic:pic>
              </a:graphicData>
            </a:graphic>
          </wp:inline>
        </w:drawing>
      </w:r>
      <w:r>
        <w:br w:type="page"/>
      </w:r>
    </w:p>
    <w:p>
      <w:pPr>
        <w:pStyle w:val="LOnormal"/>
        <w:spacing w:lineRule="auto" w:line="360"/>
        <w:jc w:val="both"/>
        <w:rPr/>
      </w:pPr>
      <w:r>
        <w:rPr/>
        <w:drawing>
          <wp:inline distT="0" distB="0" distL="0" distR="0">
            <wp:extent cx="5791835" cy="3861435"/>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13"/>
                    <a:stretch>
                      <a:fillRect/>
                    </a:stretch>
                  </pic:blipFill>
                  <pic:spPr bwMode="auto">
                    <a:xfrm>
                      <a:off x="0" y="0"/>
                      <a:ext cx="5791835" cy="3861435"/>
                    </a:xfrm>
                    <a:prstGeom prst="rect">
                      <a:avLst/>
                    </a:prstGeom>
                  </pic:spPr>
                </pic:pic>
              </a:graphicData>
            </a:graphic>
          </wp:inline>
        </w:drawing>
      </w:r>
      <w:r>
        <w:br w:type="page"/>
      </w:r>
    </w:p>
    <w:p>
      <w:pPr>
        <w:pStyle w:val="LOnormal"/>
        <w:spacing w:lineRule="auto" w:line="360"/>
        <w:jc w:val="both"/>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4"/>
                    <a:stretch>
                      <a:fillRect/>
                    </a:stretch>
                  </pic:blipFill>
                  <pic:spPr bwMode="auto">
                    <a:xfrm>
                      <a:off x="0" y="0"/>
                      <a:ext cx="8206740" cy="3827145"/>
                    </a:xfrm>
                    <a:prstGeom prst="rect">
                      <a:avLst/>
                    </a:prstGeom>
                  </pic:spPr>
                </pic:pic>
              </a:graphicData>
            </a:graphic>
          </wp:inline>
        </w:drawing>
      </w:r>
      <w:r>
        <w:br w:type="page"/>
      </w:r>
    </w:p>
    <w:p>
      <w:pPr>
        <w:pStyle w:val="LOnormal"/>
        <w:spacing w:lineRule="auto" w:line="360"/>
        <w:jc w:val="both"/>
        <w:rPr/>
      </w:pPr>
      <w:r>
        <w:rPr/>
        <w:drawing>
          <wp:inline distT="0" distB="0" distL="0" distR="0">
            <wp:extent cx="8250555" cy="4124960"/>
            <wp:effectExtent l="0" t="0" r="0" b="0"/>
            <wp:docPr id="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
                    <pic:cNvPicPr>
                      <a:picLocks noChangeAspect="1" noChangeArrowheads="1"/>
                    </pic:cNvPicPr>
                  </pic:nvPicPr>
                  <pic:blipFill>
                    <a:blip r:embed="rId15"/>
                    <a:stretch>
                      <a:fillRect/>
                    </a:stretch>
                  </pic:blipFill>
                  <pic:spPr bwMode="auto">
                    <a:xfrm>
                      <a:off x="0" y="0"/>
                      <a:ext cx="8250555" cy="4124960"/>
                    </a:xfrm>
                    <a:prstGeom prst="rect">
                      <a:avLst/>
                    </a:prstGeom>
                  </pic:spPr>
                </pic:pic>
              </a:graphicData>
            </a:graphic>
          </wp:inline>
        </w:drawing>
      </w:r>
      <w:r>
        <w:br w:type="page"/>
      </w:r>
    </w:p>
    <w:p>
      <w:pPr>
        <w:pStyle w:val="LOnormal"/>
        <w:spacing w:lineRule="auto" w:line="360"/>
        <w:jc w:val="both"/>
        <w:rPr/>
      </w:pPr>
      <w:r>
        <w:rPr/>
        <w:drawing>
          <wp:inline distT="0" distB="0" distL="0" distR="0">
            <wp:extent cx="6970395" cy="295148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16"/>
                    <a:stretch>
                      <a:fillRect/>
                    </a:stretch>
                  </pic:blipFill>
                  <pic:spPr bwMode="auto">
                    <a:xfrm>
                      <a:off x="0" y="0"/>
                      <a:ext cx="6970395" cy="2951480"/>
                    </a:xfrm>
                    <a:prstGeom prst="rect">
                      <a:avLst/>
                    </a:prstGeom>
                  </pic:spPr>
                </pic:pic>
              </a:graphicData>
            </a:graphic>
          </wp:inline>
        </w:drawing>
      </w:r>
    </w:p>
    <w:p>
      <w:pPr>
        <w:pStyle w:val="LOnormal"/>
        <w:spacing w:lineRule="auto" w:line="360"/>
        <w:jc w:val="both"/>
        <w:rPr>
          <w:rFonts w:ascii="Times New Roman" w:hAnsi="Times New Roman" w:eastAsia="Times New Roman" w:cs="Times New Roman"/>
        </w:rPr>
      </w:pPr>
      <w:r>
        <w:rPr>
          <w:rFonts w:eastAsia="Times New Roman" w:cs="Times New Roman" w:ascii="Times New Roman" w:hAnsi="Times New Roman"/>
        </w:rPr>
      </w:r>
      <w:r>
        <w:br w:type="page"/>
      </w:r>
    </w:p>
    <w:p>
      <w:pPr>
        <w:sectPr>
          <w:headerReference w:type="default" r:id="rId18"/>
          <w:footerReference w:type="default" r:id="rId19"/>
          <w:type w:val="nextPage"/>
          <w:pgSz w:w="12240" w:h="15840"/>
          <w:pgMar w:left="1440" w:right="1440" w:header="720" w:top="1509" w:footer="720" w:bottom="1440" w:gutter="0"/>
          <w:lnNumType w:countBy="1" w:restart="continuous" w:distance="283"/>
          <w:pgNumType w:start="1" w:fmt="decimal"/>
          <w:formProt w:val="false"/>
          <w:textDirection w:val="lrTb"/>
          <w:docGrid w:type="default" w:linePitch="100" w:charSpace="4096"/>
        </w:sectPr>
        <w:pStyle w:val="LOnormal"/>
        <w:spacing w:lineRule="auto" w:line="36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67398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7"/>
                    <a:stretch>
                      <a:fillRect/>
                    </a:stretch>
                  </pic:blipFill>
                  <pic:spPr bwMode="auto">
                    <a:xfrm>
                      <a:off x="0" y="0"/>
                      <a:ext cx="5943600" cy="2673985"/>
                    </a:xfrm>
                    <a:prstGeom prst="rect">
                      <a:avLst/>
                    </a:prstGeom>
                  </pic:spPr>
                </pic:pic>
              </a:graphicData>
            </a:graphic>
          </wp:anchor>
        </w:drawing>
      </w:r>
    </w:p>
    <w:p>
      <w:pPr>
        <w:pStyle w:val="LOnormal"/>
        <w:spacing w:lineRule="auto" w:line="360" w:before="120" w:after="0"/>
        <w:jc w:val="both"/>
        <w:rPr/>
      </w:pPr>
      <w:r>
        <w:rPr>
          <w:rFonts w:eastAsia="Times New Roman" w:cs="Times New Roman" w:ascii="Times New Roman" w:hAnsi="Times New Roman"/>
          <w:b/>
          <w:bCs/>
          <w:sz w:val="24"/>
          <w:szCs w:val="24"/>
        </w:rPr>
        <w:t>Supplemental Methods</w:t>
      </w:r>
    </w:p>
    <w:p>
      <w:pPr>
        <w:pStyle w:val="LOnormal"/>
        <w:spacing w:lineRule="auto" w:line="360" w:before="120" w:after="0"/>
        <w:jc w:val="both"/>
        <w:rPr/>
      </w:pPr>
      <w:r>
        <w:rPr>
          <w:rFonts w:eastAsia="Times New Roman" w:cs="Times New Roman" w:ascii="Times New Roman" w:hAnsi="Times New Roman"/>
          <w:b/>
          <w:bCs/>
          <w:sz w:val="24"/>
          <w:szCs w:val="24"/>
        </w:rPr>
        <w:t>S1 Purification, isolation, and storage of M. oryzae</w:t>
      </w:r>
    </w:p>
    <w:p>
      <w:pPr>
        <w:pStyle w:val="LOnormal"/>
        <w:spacing w:lineRule="auto" w:line="360" w:before="120" w:after="0"/>
        <w:jc w:val="both"/>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LOnormal"/>
        <w:spacing w:lineRule="auto" w:line="360" w:before="120" w:after="0"/>
        <w:jc w:val="both"/>
        <w:rPr/>
      </w:pPr>
      <w:r>
        <w:rPr>
          <w:rFonts w:eastAsia="Times New Roman" w:cs="Times New Roman" w:ascii="Times New Roman" w:hAnsi="Times New Roman"/>
          <w:b/>
          <w:bCs/>
          <w:sz w:val="24"/>
          <w:szCs w:val="24"/>
        </w:rPr>
        <w:t>S2 Plant growth and pathogenicity assays</w:t>
      </w:r>
    </w:p>
    <w:p>
      <w:pPr>
        <w:pStyle w:val="LOnormal"/>
        <w:spacing w:lineRule="auto" w:line="360" w:before="120" w:after="0"/>
        <w:jc w:val="both"/>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LOnormal"/>
        <w:spacing w:lineRule="auto" w:line="360" w:before="120" w:after="0"/>
        <w:jc w:val="both"/>
        <w:rPr/>
      </w:pPr>
      <w:r>
        <w:rPr>
          <w:rFonts w:eastAsia="Times New Roman" w:cs="Times New Roman" w:ascii="Times New Roman" w:hAnsi="Times New Roman"/>
          <w:b/>
          <w:bCs/>
          <w:sz w:val="24"/>
          <w:szCs w:val="24"/>
        </w:rPr>
        <w:t>S3 Gene specific primers</w:t>
      </w:r>
    </w:p>
    <w:p>
      <w:pPr>
        <w:pStyle w:val="LOnormal"/>
        <w:spacing w:lineRule="auto" w:line="360" w:before="120" w:after="0"/>
        <w:jc w:val="both"/>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w:t>
      </w:r>
    </w:p>
    <w:p>
      <w:pPr>
        <w:pStyle w:val="LOnormal"/>
        <w:spacing w:lineRule="auto" w:line="360" w:before="120" w:after="0"/>
        <w:jc w:val="both"/>
        <w:rPr/>
      </w:pPr>
      <w:r>
        <w:rPr>
          <w:rFonts w:eastAsia="Times New Roman" w:cs="Times New Roman" w:ascii="Times New Roman" w:hAnsi="Times New Roman"/>
          <w:b/>
          <w:bCs/>
          <w:sz w:val="24"/>
          <w:szCs w:val="24"/>
        </w:rPr>
        <w:t>S4 Fungal DNA extraction, PCR amplification and purification</w:t>
      </w:r>
    </w:p>
    <w:p>
      <w:pPr>
        <w:pStyle w:val="LOnormal"/>
        <w:spacing w:lineRule="auto" w:line="360" w:before="120" w:after="0"/>
        <w:jc w:val="both"/>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LOnormal"/>
        <w:spacing w:lineRule="auto" w:line="360" w:before="120" w:after="0"/>
        <w:jc w:val="both"/>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p>
    <w:sectPr>
      <w:headerReference w:type="default" r:id="rId20"/>
      <w:footerReference w:type="default" r:id="rId21"/>
      <w:type w:val="nextPage"/>
      <w:pgSz w:w="12240" w:h="15840"/>
      <w:pgMar w:left="1418" w:right="1418" w:header="0" w:top="720" w:footer="720" w:bottom="1701" w:gutter="0"/>
      <w:lnNumType w:countBy="1" w:restart="continuous" w:distance="28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font>
  <w:font w:name="Cambria">
    <w:charset w:val="01"/>
    <w:family w:val="swiss"/>
    <w:pitch w:val="variable"/>
  </w:font>
  <w:font w:name="Times New Roman">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auto"/>
    <w:pitch w:val="default"/>
    <w:embedRegular r:id="rId25" w:fontKey="{19014A78-CABC-4EF0-12AC-5CD89AEFDE19}"/>
    <w:embedBold r:id="rId26" w:fontKey="{1A014A78-CABC-4EF0-12AC-5CD89AEFDE1A}"/>
  </w:font>
  <w:font w:name="Courier New">
    <w:charset w:val="01"/>
    <w:family w:val="auto"/>
    <w:pitch w:val="fixed"/>
    <w:embedRegular r:id="rId27" w:fontKey="{1B014A78-CABC-4EF0-12AC-5CD89AEFDE1B}"/>
    <w:embedBold r:id="rId28" w:fontKey="{1C014A78-CABC-4EF0-12AC-5CD89AEFDE1C}"/>
    <w:embedItalic r:id="rId29" w:fontKey="{1D014A78-CABC-4EF0-12AC-5CD89AEFDE1D}"/>
    <w:embedBoldItalic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Left"/>
      <w:suppressLineNumbers/>
      <w:spacing w:before="0" w:after="200"/>
      <w:rPr/>
    </w:pPr>
    <w:r>
      <w:rPr/>
      <w:fldChar w:fldCharType="begin"/>
    </w:r>
    <w:r>
      <w:rPr/>
      <w:instrText> PAGE </w:instrText>
    </w:r>
    <w:r>
      <w:rPr/>
      <w:fldChar w:fldCharType="separate"/>
    </w:r>
    <w:r>
      <w:rPr/>
      <w:t>40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widowControl/>
      <w:suppressAutoHyphens w:val="true"/>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 w:eastAsia="zh-CN" w:bidi="hi-IN"/>
    </w:rPr>
  </w:style>
  <w:style w:type="paragraph" w:styleId="Heading1">
    <w:name w:val="Heading 1"/>
    <w:basedOn w:val="LOnormal"/>
    <w:next w:val="LOnormal"/>
    <w:qFormat/>
    <w:pPr>
      <w:keepNext w:val="true"/>
      <w:keepLines/>
      <w:spacing w:lineRule="auto" w:line="240" w:before="480" w:after="0"/>
    </w:pPr>
    <w:rPr>
      <w:rFonts w:ascii="Cambria" w:hAnsi="Cambria" w:eastAsia="Cambria" w:cs="Cambria"/>
      <w:b/>
      <w:bCs/>
      <w:color w:val="366091"/>
      <w:sz w:val="28"/>
      <w:szCs w:val="28"/>
    </w:rPr>
  </w:style>
  <w:style w:type="paragraph" w:styleId="Heading2">
    <w:name w:val="Heading 2"/>
    <w:basedOn w:val="LOnormal"/>
    <w:next w:val="LOnormal"/>
    <w:qFormat/>
    <w:pPr>
      <w:spacing w:lineRule="auto" w:line="240"/>
    </w:pPr>
    <w:rPr>
      <w:rFonts w:ascii="Times New Roman" w:hAnsi="Times New Roman" w:eastAsia="Times New Roman" w:cs="Times New Roman"/>
      <w:b/>
      <w:bCs/>
      <w:sz w:val="36"/>
      <w:szCs w:val="36"/>
    </w:rPr>
  </w:style>
  <w:style w:type="paragraph" w:styleId="Heading3">
    <w:name w:val="Heading 3"/>
    <w:basedOn w:val="LOnormal"/>
    <w:next w:val="LOnormal"/>
    <w:qFormat/>
    <w:pPr>
      <w:spacing w:lineRule="auto" w:line="240"/>
    </w:pPr>
    <w:rPr>
      <w:rFonts w:ascii="Times New Roman" w:hAnsi="Times New Roman" w:eastAsia="Times New Roman" w:cs="Times New Roman"/>
      <w:b/>
      <w:bCs/>
      <w:sz w:val="27"/>
      <w:szCs w:val="27"/>
    </w:rPr>
  </w:style>
  <w:style w:type="paragraph" w:styleId="Heading4">
    <w:name w:val="Heading 4"/>
    <w:basedOn w:val="LOnormal"/>
    <w:next w:val="LOnormal"/>
    <w:qFormat/>
    <w:pPr>
      <w:keepNext w:val="true"/>
      <w:keepLines/>
      <w:spacing w:lineRule="auto" w:line="240" w:before="240" w:after="40"/>
    </w:pPr>
    <w:rPr>
      <w:b/>
      <w:bCs/>
      <w:sz w:val="24"/>
      <w:szCs w:val="24"/>
    </w:rPr>
  </w:style>
  <w:style w:type="paragraph" w:styleId="Heading5">
    <w:name w:val="Heading 5"/>
    <w:basedOn w:val="LOnormal"/>
    <w:next w:val="LOnormal"/>
    <w:qFormat/>
    <w:pPr>
      <w:keepNext w:val="true"/>
      <w:keepLines/>
      <w:spacing w:lineRule="auto" w:line="240" w:before="220" w:after="40"/>
    </w:pPr>
    <w:rPr>
      <w:b/>
      <w:bCs/>
    </w:rPr>
  </w:style>
  <w:style w:type="paragraph" w:styleId="Heading6">
    <w:name w:val="Heading 6"/>
    <w:basedOn w:val="LOnormal"/>
    <w:next w:val="LOnormal"/>
    <w:qFormat/>
    <w:pPr>
      <w:keepNext w:val="true"/>
      <w:keepLines/>
      <w:spacing w:lineRule="auto" w:line="240" w:before="200" w:after="40"/>
    </w:pPr>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200"/>
      <w:jc w:val="left"/>
    </w:pPr>
    <w:rPr>
      <w:rFonts w:ascii="Calibri" w:hAnsi="Calibri" w:eastAsia="Calibri" w:cs="Calibri"/>
      <w:color w:val="auto"/>
      <w:kern w:val="0"/>
      <w:sz w:val="22"/>
      <w:szCs w:val="22"/>
      <w:lang w:val="en" w:eastAsia="zh-CN" w:bidi="hi-IN"/>
    </w:rPr>
  </w:style>
  <w:style w:type="paragraph" w:styleId="Title">
    <w:name w:val="Title"/>
    <w:basedOn w:val="LOnormal"/>
    <w:next w:val="LOnormal"/>
    <w:qFormat/>
    <w:pPr>
      <w:keepNext w:val="true"/>
      <w:keepLines/>
      <w:spacing w:lineRule="auto" w:line="240" w:before="480" w:after="120"/>
    </w:pPr>
    <w:rPr>
      <w:b/>
      <w:bCs/>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eaderLeft">
    <w:name w:val="Header Left"/>
    <w:basedOn w:val="Header"/>
    <w:qFormat/>
    <w:pPr>
      <w:suppressLineNumbers/>
      <w:tabs>
        <w:tab w:val="clear" w:pos="720"/>
        <w:tab w:val="center" w:pos="4680" w:leader="none"/>
        <w:tab w:val="right" w:pos="9360" w:leader="none"/>
      </w:tabs>
    </w:pPr>
    <w:rPr/>
  </w:style>
  <w:style w:type="paragraph" w:styleId="FooterLeft">
    <w:name w:val="Footer Left"/>
    <w:basedOn w:val="Footer"/>
    <w:qFormat/>
    <w:pPr>
      <w:suppressLineNumbers/>
      <w:tabs>
        <w:tab w:val="clear" w:pos="720"/>
        <w:tab w:val="center" w:pos="4680" w:leader="none"/>
        <w:tab w:val="right" w:pos="9360" w:leader="none"/>
      </w:tab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60</TotalTime>
  <Application>LibreOffice/7.1.8.1$Linux_X86_64 LibreOffice_project/10$Build-1</Application>
  <AppVersion>15.0000</AppVersion>
  <Pages>42</Pages>
  <Words>11780</Words>
  <Characters>62408</Characters>
  <CharactersWithSpaces>74044</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Grant Billings</cp:lastModifiedBy>
  <dcterms:modified xsi:type="dcterms:W3CDTF">2026-07-07T16:00:18Z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id="CRXPHpRW"/&gt;&lt;style id="" hasBibliography="0" bibliographyStyleHasBeenSet="0"/&gt;&lt;prefs/&gt;&lt;/data&gt;</vt:lpwstr>
  </property>
</Properties>
</file>