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3EE8" w14:textId="77777777" w:rsidR="008002EC" w:rsidRPr="00FF06F4" w:rsidRDefault="00F240CC">
      <w:pPr>
        <w:rPr>
          <w:rFonts w:ascii="Arial" w:hAnsi="Arial" w:cs="Arial"/>
          <w:sz w:val="22"/>
          <w:szCs w:val="22"/>
        </w:rPr>
      </w:pPr>
      <w:r w:rsidRPr="00FF06F4">
        <w:rPr>
          <w:rFonts w:ascii="Arial" w:hAnsi="Arial" w:cs="Arial"/>
          <w:b/>
          <w:sz w:val="22"/>
          <w:szCs w:val="22"/>
        </w:rPr>
        <w:t>Library amplification protocol</w:t>
      </w:r>
    </w:p>
    <w:p w14:paraId="0A2A155D" w14:textId="77777777" w:rsidR="00F240CC" w:rsidRPr="00FF06F4" w:rsidRDefault="00F240CC">
      <w:pPr>
        <w:rPr>
          <w:rFonts w:ascii="Arial" w:hAnsi="Arial" w:cs="Arial"/>
          <w:sz w:val="22"/>
          <w:szCs w:val="22"/>
        </w:rPr>
      </w:pPr>
    </w:p>
    <w:p w14:paraId="0B82446A" w14:textId="265DABCE" w:rsidR="00F240CC" w:rsidRPr="00FF06F4" w:rsidRDefault="00F240CC" w:rsidP="006D42E2">
      <w:pPr>
        <w:ind w:firstLine="720"/>
        <w:rPr>
          <w:rFonts w:ascii="Arial" w:hAnsi="Arial" w:cs="Arial"/>
          <w:sz w:val="22"/>
          <w:szCs w:val="22"/>
        </w:rPr>
      </w:pPr>
      <w:r w:rsidRPr="00FF06F4">
        <w:rPr>
          <w:rFonts w:ascii="Arial" w:hAnsi="Arial" w:cs="Arial"/>
          <w:sz w:val="22"/>
          <w:szCs w:val="22"/>
        </w:rPr>
        <w:t xml:space="preserve">The library can be amplified by </w:t>
      </w:r>
      <w:proofErr w:type="spellStart"/>
      <w:r w:rsidRPr="00FF06F4">
        <w:rPr>
          <w:rFonts w:ascii="Arial" w:hAnsi="Arial" w:cs="Arial"/>
          <w:sz w:val="22"/>
          <w:szCs w:val="22"/>
        </w:rPr>
        <w:t>electrotransformation</w:t>
      </w:r>
      <w:proofErr w:type="spellEnd"/>
      <w:r w:rsidRPr="00FF06F4">
        <w:rPr>
          <w:rFonts w:ascii="Arial" w:hAnsi="Arial" w:cs="Arial"/>
          <w:sz w:val="22"/>
          <w:szCs w:val="22"/>
        </w:rPr>
        <w:t xml:space="preserve"> and plasmid preparation. Briefly, about 1 ng of plasmid library in 10 µL should be transformed into 100 µL of XL1-Blue electroporation-competent cells</w:t>
      </w:r>
      <w:r w:rsidR="00A66216">
        <w:rPr>
          <w:rFonts w:ascii="Arial" w:hAnsi="Arial" w:cs="Arial"/>
          <w:sz w:val="22"/>
          <w:szCs w:val="22"/>
        </w:rPr>
        <w:t>, ideally split across 3 reactions,</w:t>
      </w:r>
      <w:r w:rsidRPr="00FF06F4">
        <w:rPr>
          <w:rFonts w:ascii="Arial" w:hAnsi="Arial" w:cs="Arial"/>
          <w:sz w:val="22"/>
          <w:szCs w:val="22"/>
        </w:rPr>
        <w:t xml:space="preserve"> with the following electroporator settings: 1.75 kV voltage, 200 Ω resistance, and 25 µF capacitance. Recover </w:t>
      </w:r>
      <w:r w:rsidR="00A66216">
        <w:rPr>
          <w:rFonts w:ascii="Arial" w:hAnsi="Arial" w:cs="Arial"/>
          <w:sz w:val="22"/>
          <w:szCs w:val="22"/>
        </w:rPr>
        <w:t>each electroporation</w:t>
      </w:r>
      <w:r w:rsidRPr="00FF06F4">
        <w:rPr>
          <w:rFonts w:ascii="Arial" w:hAnsi="Arial" w:cs="Arial"/>
          <w:sz w:val="22"/>
          <w:szCs w:val="22"/>
        </w:rPr>
        <w:t xml:space="preserve"> in 1 mL of SOC media</w:t>
      </w:r>
      <w:r w:rsidR="006D42E2" w:rsidRPr="00FF06F4">
        <w:rPr>
          <w:rFonts w:ascii="Arial" w:hAnsi="Arial" w:cs="Arial"/>
          <w:sz w:val="22"/>
          <w:szCs w:val="22"/>
        </w:rPr>
        <w:t>, shaking</w:t>
      </w:r>
      <w:r w:rsidRPr="00FF06F4">
        <w:rPr>
          <w:rFonts w:ascii="Arial" w:hAnsi="Arial" w:cs="Arial"/>
          <w:sz w:val="22"/>
          <w:szCs w:val="22"/>
        </w:rPr>
        <w:t xml:space="preserve"> at 37 ºC for 1 hour.</w:t>
      </w:r>
      <w:r w:rsidR="006D42E2" w:rsidRPr="00FF06F4">
        <w:rPr>
          <w:rFonts w:ascii="Arial" w:hAnsi="Arial" w:cs="Arial"/>
          <w:sz w:val="22"/>
          <w:szCs w:val="22"/>
        </w:rPr>
        <w:t xml:space="preserve"> </w:t>
      </w:r>
      <w:r w:rsidR="00A66216">
        <w:rPr>
          <w:rFonts w:ascii="Arial" w:hAnsi="Arial" w:cs="Arial"/>
          <w:sz w:val="22"/>
          <w:szCs w:val="22"/>
        </w:rPr>
        <w:t>Combine and t</w:t>
      </w:r>
      <w:r w:rsidR="006D42E2" w:rsidRPr="00FF06F4">
        <w:rPr>
          <w:rFonts w:ascii="Arial" w:hAnsi="Arial" w:cs="Arial"/>
          <w:sz w:val="22"/>
          <w:szCs w:val="22"/>
        </w:rPr>
        <w:t>ransfer the recover</w:t>
      </w:r>
      <w:r w:rsidR="00A66216">
        <w:rPr>
          <w:rFonts w:ascii="Arial" w:hAnsi="Arial" w:cs="Arial"/>
          <w:sz w:val="22"/>
          <w:szCs w:val="22"/>
        </w:rPr>
        <w:t>ies</w:t>
      </w:r>
      <w:r w:rsidR="006D42E2" w:rsidRPr="00FF06F4">
        <w:rPr>
          <w:rFonts w:ascii="Arial" w:hAnsi="Arial" w:cs="Arial"/>
          <w:sz w:val="22"/>
          <w:szCs w:val="22"/>
        </w:rPr>
        <w:t xml:space="preserve"> to</w:t>
      </w:r>
      <w:r w:rsidR="00A66216">
        <w:rPr>
          <w:rFonts w:ascii="Arial" w:hAnsi="Arial" w:cs="Arial"/>
          <w:sz w:val="22"/>
          <w:szCs w:val="22"/>
        </w:rPr>
        <w:t xml:space="preserve"> a single 500 mL flask containing</w:t>
      </w:r>
      <w:r w:rsidR="006D42E2" w:rsidRPr="00FF06F4">
        <w:rPr>
          <w:rFonts w:ascii="Arial" w:hAnsi="Arial" w:cs="Arial"/>
          <w:sz w:val="22"/>
          <w:szCs w:val="22"/>
        </w:rPr>
        <w:t xml:space="preserve"> 150 mL of LB medium with 100 µg/mL carbenicillin and grow the culture by shaking at 37 ºC for about 12 hours. Purify the plasmid library from the culture by following a standard maxiprep protocol for a low copy number plasmid.</w:t>
      </w:r>
    </w:p>
    <w:p w14:paraId="1F874FC1" w14:textId="77777777" w:rsidR="00F240CC" w:rsidRPr="00FF06F4" w:rsidRDefault="00F240CC">
      <w:pPr>
        <w:rPr>
          <w:rFonts w:ascii="Arial" w:hAnsi="Arial" w:cs="Arial"/>
          <w:sz w:val="22"/>
          <w:szCs w:val="22"/>
        </w:rPr>
      </w:pPr>
    </w:p>
    <w:p w14:paraId="250B7043" w14:textId="77777777" w:rsidR="00F240CC" w:rsidRPr="00FF06F4" w:rsidRDefault="00F240CC">
      <w:pPr>
        <w:rPr>
          <w:rFonts w:ascii="Arial" w:hAnsi="Arial" w:cs="Arial"/>
          <w:b/>
          <w:sz w:val="22"/>
          <w:szCs w:val="22"/>
        </w:rPr>
      </w:pPr>
      <w:r w:rsidRPr="00FF06F4">
        <w:rPr>
          <w:rFonts w:ascii="Arial" w:hAnsi="Arial" w:cs="Arial"/>
          <w:b/>
          <w:sz w:val="22"/>
          <w:szCs w:val="22"/>
        </w:rPr>
        <w:t>Experimental protocol for NGS verification</w:t>
      </w:r>
    </w:p>
    <w:p w14:paraId="42DE8950" w14:textId="77777777" w:rsidR="00F240CC" w:rsidRPr="00FF06F4" w:rsidRDefault="00F240CC">
      <w:pPr>
        <w:rPr>
          <w:rFonts w:ascii="Arial" w:hAnsi="Arial" w:cs="Arial"/>
          <w:sz w:val="22"/>
          <w:szCs w:val="22"/>
        </w:rPr>
      </w:pPr>
    </w:p>
    <w:p w14:paraId="6E46AD22" w14:textId="5AFFA030" w:rsidR="00FF06F4" w:rsidRDefault="006D42E2">
      <w:pPr>
        <w:rPr>
          <w:rFonts w:ascii="Arial" w:hAnsi="Arial" w:cs="Arial"/>
          <w:sz w:val="22"/>
          <w:szCs w:val="22"/>
        </w:rPr>
      </w:pPr>
      <w:r w:rsidRPr="00FF06F4">
        <w:rPr>
          <w:rFonts w:ascii="Arial" w:hAnsi="Arial" w:cs="Arial"/>
          <w:sz w:val="22"/>
          <w:szCs w:val="22"/>
        </w:rPr>
        <w:tab/>
        <w:t>The library can be verified by NGS with a two-</w:t>
      </w:r>
      <w:r w:rsidR="000554A3">
        <w:rPr>
          <w:rFonts w:ascii="Arial" w:hAnsi="Arial" w:cs="Arial"/>
          <w:sz w:val="22"/>
          <w:szCs w:val="22"/>
        </w:rPr>
        <w:t xml:space="preserve">step </w:t>
      </w:r>
      <w:r w:rsidRPr="00FF06F4">
        <w:rPr>
          <w:rFonts w:ascii="Arial" w:hAnsi="Arial" w:cs="Arial"/>
          <w:sz w:val="22"/>
          <w:szCs w:val="22"/>
        </w:rPr>
        <w:t>PCR</w:t>
      </w:r>
      <w:r w:rsidR="000554A3">
        <w:rPr>
          <w:rFonts w:ascii="Arial" w:hAnsi="Arial" w:cs="Arial"/>
          <w:sz w:val="22"/>
          <w:szCs w:val="22"/>
        </w:rPr>
        <w:t>-based</w:t>
      </w:r>
      <w:r w:rsidRPr="00FF06F4">
        <w:rPr>
          <w:rFonts w:ascii="Arial" w:hAnsi="Arial" w:cs="Arial"/>
          <w:sz w:val="22"/>
          <w:szCs w:val="22"/>
        </w:rPr>
        <w:t xml:space="preserve"> library preparation</w:t>
      </w:r>
      <w:r w:rsidR="000554A3">
        <w:rPr>
          <w:rFonts w:ascii="Arial" w:hAnsi="Arial" w:cs="Arial"/>
          <w:sz w:val="22"/>
          <w:szCs w:val="22"/>
        </w:rPr>
        <w:t xml:space="preserve"> protocol</w:t>
      </w:r>
      <w:r w:rsidRPr="00FF06F4">
        <w:rPr>
          <w:rFonts w:ascii="Arial" w:hAnsi="Arial" w:cs="Arial"/>
          <w:sz w:val="22"/>
          <w:szCs w:val="22"/>
        </w:rPr>
        <w:t xml:space="preserve">. If the library will be used for the HT-PAMDA protocol, perform the restriction enzyme </w:t>
      </w:r>
      <w:r w:rsidR="00A87F2E">
        <w:rPr>
          <w:rFonts w:ascii="Arial" w:hAnsi="Arial" w:cs="Arial"/>
          <w:sz w:val="22"/>
          <w:szCs w:val="22"/>
        </w:rPr>
        <w:t xml:space="preserve">digest </w:t>
      </w:r>
      <w:r w:rsidRPr="00FF06F4">
        <w:rPr>
          <w:rFonts w:ascii="Arial" w:hAnsi="Arial" w:cs="Arial"/>
          <w:sz w:val="22"/>
          <w:szCs w:val="22"/>
        </w:rPr>
        <w:t>to linearize the library before proceeding to NGS verification.</w:t>
      </w:r>
    </w:p>
    <w:p w14:paraId="286CE0D9" w14:textId="77777777" w:rsidR="00FF06F4" w:rsidRDefault="00FF06F4">
      <w:pPr>
        <w:rPr>
          <w:rFonts w:ascii="Arial" w:hAnsi="Arial" w:cs="Arial"/>
          <w:sz w:val="22"/>
          <w:szCs w:val="22"/>
        </w:rPr>
      </w:pPr>
    </w:p>
    <w:p w14:paraId="73FAA318" w14:textId="77777777" w:rsidR="006D42E2" w:rsidRPr="00FF06F4" w:rsidRDefault="00FF06F4">
      <w:pPr>
        <w:rPr>
          <w:rFonts w:ascii="Arial" w:hAnsi="Arial" w:cs="Arial"/>
          <w:sz w:val="22"/>
          <w:szCs w:val="22"/>
        </w:rPr>
      </w:pPr>
      <w:r w:rsidRPr="00A87F2E">
        <w:rPr>
          <w:rFonts w:ascii="Arial" w:hAnsi="Arial" w:cs="Arial"/>
          <w:sz w:val="22"/>
          <w:szCs w:val="22"/>
          <w:u w:val="single"/>
        </w:rPr>
        <w:t>PCR1</w:t>
      </w:r>
      <w:r>
        <w:rPr>
          <w:rFonts w:ascii="Arial" w:hAnsi="Arial" w:cs="Arial"/>
          <w:sz w:val="22"/>
          <w:szCs w:val="22"/>
        </w:rPr>
        <w:t>: A</w:t>
      </w:r>
      <w:r w:rsidR="006D42E2" w:rsidRPr="00FF06F4">
        <w:rPr>
          <w:rFonts w:ascii="Arial" w:hAnsi="Arial" w:cs="Arial"/>
          <w:sz w:val="22"/>
          <w:szCs w:val="22"/>
        </w:rPr>
        <w:t>mplify the library with the following conditions and thermal cycling protocol:</w:t>
      </w:r>
    </w:p>
    <w:p w14:paraId="714FCDBF" w14:textId="77777777" w:rsidR="006D42E2" w:rsidRPr="00FF06F4" w:rsidRDefault="006D42E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70"/>
        <w:gridCol w:w="2315"/>
        <w:gridCol w:w="1464"/>
      </w:tblGrid>
      <w:tr w:rsidR="006D42E2" w:rsidRPr="00FF06F4" w14:paraId="074BA71E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064F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06F4">
              <w:rPr>
                <w:rFonts w:ascii="Arial" w:hAnsi="Arial" w:cs="Arial"/>
                <w:b/>
                <w:bCs/>
                <w:sz w:val="22"/>
                <w:szCs w:val="22"/>
              </w:rPr>
              <w:t>Reagent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CA28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06F4">
              <w:rPr>
                <w:rFonts w:ascii="Arial" w:hAnsi="Arial" w:cs="Arial"/>
                <w:b/>
                <w:bCs/>
                <w:sz w:val="22"/>
                <w:szCs w:val="22"/>
              </w:rPr>
              <w:t>Stock concentration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48FB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06F4">
              <w:rPr>
                <w:rFonts w:ascii="Arial" w:hAnsi="Arial" w:cs="Arial"/>
                <w:b/>
                <w:bCs/>
                <w:sz w:val="22"/>
                <w:szCs w:val="22"/>
              </w:rPr>
              <w:t>Volume (µL)</w:t>
            </w:r>
          </w:p>
        </w:tc>
      </w:tr>
      <w:tr w:rsidR="006D42E2" w:rsidRPr="00FF06F4" w14:paraId="41AA4852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CE2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linearized randomized PAM plasmid library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82C7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 xml:space="preserve">5 </w:t>
            </w:r>
            <w:proofErr w:type="spellStart"/>
            <w:r w:rsidRPr="00FF06F4">
              <w:rPr>
                <w:rFonts w:ascii="Arial" w:hAnsi="Arial" w:cs="Arial"/>
                <w:sz w:val="22"/>
                <w:szCs w:val="22"/>
              </w:rPr>
              <w:t>nM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DCB1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1.5</w:t>
            </w:r>
          </w:p>
        </w:tc>
      </w:tr>
      <w:tr w:rsidR="006D42E2" w:rsidRPr="00FF06F4" w14:paraId="65740C45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3959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primer pair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D0B8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5 µM each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DDF6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</w:tr>
      <w:tr w:rsidR="006D42E2" w:rsidRPr="00FF06F4" w14:paraId="64653F60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8E1B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Q5 buffer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6FE3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5X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1548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6D42E2" w:rsidRPr="00FF06F4" w14:paraId="6C052334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2603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dNTPs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F64B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10 mM each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4D60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6D42E2" w:rsidRPr="00FF06F4" w14:paraId="2CA867DA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7F19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Betaine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A9A4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5 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BDF7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</w:tr>
      <w:tr w:rsidR="006D42E2" w:rsidRPr="00FF06F4" w14:paraId="11B5FCC2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D5BC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MgCl</w:t>
            </w:r>
            <w:r w:rsidRPr="00FF06F4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6855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50 mM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7951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1.5</w:t>
            </w:r>
          </w:p>
        </w:tc>
      </w:tr>
      <w:tr w:rsidR="006D42E2" w:rsidRPr="00FF06F4" w14:paraId="34CE3BE0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5A46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Q5 polymerase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E0F4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2,000 units/mL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F350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0.25</w:t>
            </w:r>
          </w:p>
        </w:tc>
      </w:tr>
      <w:tr w:rsidR="006D42E2" w:rsidRPr="00FF06F4" w14:paraId="619F7D16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C4EF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Nuclease-free water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E662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041B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11.25</w:t>
            </w:r>
          </w:p>
        </w:tc>
      </w:tr>
      <w:tr w:rsidR="006D42E2" w:rsidRPr="00FF06F4" w14:paraId="476C36C2" w14:textId="77777777" w:rsidTr="006E51F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9CE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247F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DBC1" w14:textId="77777777" w:rsidR="006D42E2" w:rsidRPr="00FF06F4" w:rsidRDefault="006D42E2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</w:tbl>
    <w:p w14:paraId="1D7D916E" w14:textId="77777777" w:rsidR="006D42E2" w:rsidRPr="00FF06F4" w:rsidRDefault="006D42E2">
      <w:pPr>
        <w:rPr>
          <w:rFonts w:ascii="Arial" w:hAnsi="Arial" w:cs="Arial"/>
          <w:sz w:val="22"/>
          <w:szCs w:val="22"/>
        </w:rPr>
      </w:pPr>
      <w:r w:rsidRPr="00FF06F4">
        <w:rPr>
          <w:rFonts w:ascii="Arial" w:hAnsi="Arial" w:cs="Arial"/>
          <w:sz w:val="22"/>
          <w:szCs w:val="22"/>
        </w:rPr>
        <w:t>98 ºC for 2 min, 30X (98 ºC for 10 s, 67 ºC for 10 s, and 72 ºC for 10 s), and 72 ºC for 1 min</w:t>
      </w:r>
    </w:p>
    <w:p w14:paraId="7540F430" w14:textId="77777777" w:rsidR="00FF06F4" w:rsidRPr="00FF06F4" w:rsidRDefault="00FF06F4">
      <w:pPr>
        <w:rPr>
          <w:rFonts w:ascii="Arial" w:hAnsi="Arial" w:cs="Arial"/>
          <w:sz w:val="22"/>
          <w:szCs w:val="22"/>
        </w:rPr>
      </w:pPr>
    </w:p>
    <w:p w14:paraId="57E4BD5D" w14:textId="77777777" w:rsidR="006D42E2" w:rsidRPr="00FF06F4" w:rsidRDefault="00FF06F4">
      <w:pPr>
        <w:rPr>
          <w:rFonts w:ascii="Arial" w:hAnsi="Arial" w:cs="Arial"/>
          <w:sz w:val="22"/>
          <w:szCs w:val="22"/>
        </w:rPr>
      </w:pPr>
      <w:r w:rsidRPr="00FF06F4">
        <w:rPr>
          <w:rFonts w:ascii="Arial" w:hAnsi="Arial" w:cs="Arial"/>
          <w:sz w:val="22"/>
          <w:szCs w:val="22"/>
        </w:rPr>
        <w:t>Example PCR</w:t>
      </w:r>
      <w:r>
        <w:rPr>
          <w:rFonts w:ascii="Arial" w:hAnsi="Arial" w:cs="Arial"/>
          <w:sz w:val="22"/>
          <w:szCs w:val="22"/>
        </w:rPr>
        <w:t>1</w:t>
      </w:r>
      <w:r w:rsidRPr="00FF06F4">
        <w:rPr>
          <w:rFonts w:ascii="Arial" w:hAnsi="Arial" w:cs="Arial"/>
          <w:sz w:val="22"/>
          <w:szCs w:val="22"/>
        </w:rPr>
        <w:t xml:space="preserve"> primer</w:t>
      </w:r>
      <w:r>
        <w:rPr>
          <w:rFonts w:ascii="Arial" w:hAnsi="Arial" w:cs="Arial"/>
          <w:sz w:val="22"/>
          <w:szCs w:val="22"/>
        </w:rPr>
        <w:t xml:space="preserve"> pair</w:t>
      </w:r>
      <w:r w:rsidRPr="00FF06F4">
        <w:rPr>
          <w:rFonts w:ascii="Arial" w:hAnsi="Arial" w:cs="Arial"/>
          <w:sz w:val="22"/>
          <w:szCs w:val="22"/>
        </w:rPr>
        <w:t>:</w:t>
      </w:r>
    </w:p>
    <w:tbl>
      <w:tblPr>
        <w:tblW w:w="93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2922"/>
        <w:gridCol w:w="4950"/>
      </w:tblGrid>
      <w:tr w:rsidR="00FF06F4" w:rsidRPr="00FF06F4" w14:paraId="7A5D31FA" w14:textId="77777777" w:rsidTr="00FF06F4">
        <w:trPr>
          <w:trHeight w:val="315"/>
        </w:trPr>
        <w:tc>
          <w:tcPr>
            <w:tcW w:w="1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17039" w14:textId="77777777" w:rsidR="00FF06F4" w:rsidRPr="00FF06F4" w:rsidRDefault="00FF06F4" w:rsidP="006E51F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oRW1491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B39EF" w14:textId="53FD36F1" w:rsidR="00FF06F4" w:rsidRPr="00FF06F4" w:rsidRDefault="00FF06F4" w:rsidP="006E51F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P5 </w:t>
            </w:r>
            <w:r w:rsidR="007B36A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PCR #1 </w:t>
            </w: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sample barcode primer with CCTG barcode</w:t>
            </w:r>
          </w:p>
        </w:tc>
        <w:tc>
          <w:tcPr>
            <w:tcW w:w="4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A7025" w14:textId="77777777" w:rsidR="00FF06F4" w:rsidRPr="00FF06F4" w:rsidRDefault="00FF06F4" w:rsidP="006E51F6">
            <w:pPr>
              <w:rPr>
                <w:rFonts w:ascii="Consolas" w:eastAsia="Times New Roman" w:hAnsi="Consolas" w:cs="Consolas"/>
                <w:color w:val="000000"/>
                <w:sz w:val="22"/>
                <w:szCs w:val="22"/>
              </w:rPr>
            </w:pPr>
            <w:r w:rsidRPr="00FF06F4">
              <w:rPr>
                <w:rFonts w:ascii="Consolas" w:eastAsia="Times New Roman" w:hAnsi="Consolas" w:cs="Consolas"/>
                <w:color w:val="000000"/>
                <w:sz w:val="22"/>
                <w:szCs w:val="22"/>
              </w:rPr>
              <w:t>ACACTCTTTCCCTACACGACGCTCTTCCGATCTCCCCTGGCATGCCTCGTGACCTGC</w:t>
            </w:r>
          </w:p>
        </w:tc>
      </w:tr>
      <w:tr w:rsidR="00FF06F4" w:rsidRPr="00FF06F4" w14:paraId="5FCB46B2" w14:textId="77777777" w:rsidTr="00FF06F4">
        <w:trPr>
          <w:trHeight w:val="315"/>
        </w:trPr>
        <w:tc>
          <w:tcPr>
            <w:tcW w:w="1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32B4B" w14:textId="77777777" w:rsidR="00FF06F4" w:rsidRPr="00FF06F4" w:rsidRDefault="00FF06F4" w:rsidP="00FF06F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oRW1501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0D69A" w14:textId="2800C250" w:rsidR="00FF06F4" w:rsidRPr="00FF06F4" w:rsidRDefault="00FF06F4" w:rsidP="00FF06F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P7</w:t>
            </w:r>
            <w:r w:rsidR="007B36A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PCR #1</w:t>
            </w: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sample barcode primer with GTCA barcode</w:t>
            </w:r>
          </w:p>
        </w:tc>
        <w:tc>
          <w:tcPr>
            <w:tcW w:w="4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5C389" w14:textId="77777777" w:rsidR="00FF06F4" w:rsidRPr="00FF06F4" w:rsidRDefault="00FF06F4" w:rsidP="00FF06F4">
            <w:pPr>
              <w:rPr>
                <w:rFonts w:ascii="Consolas" w:eastAsia="Times New Roman" w:hAnsi="Consolas" w:cs="Consolas"/>
                <w:color w:val="000000"/>
                <w:sz w:val="22"/>
                <w:szCs w:val="22"/>
              </w:rPr>
            </w:pPr>
            <w:r w:rsidRPr="00FF06F4">
              <w:rPr>
                <w:rFonts w:ascii="Consolas" w:eastAsia="Times New Roman" w:hAnsi="Consolas" w:cs="Consolas"/>
                <w:color w:val="000000"/>
                <w:sz w:val="22"/>
                <w:szCs w:val="22"/>
              </w:rPr>
              <w:t>CTGGAGTTCAGACGTGTGCTCTTCCGATCTTGGTCACGGTATTTCACACCGCATACGTAC</w:t>
            </w:r>
          </w:p>
        </w:tc>
      </w:tr>
    </w:tbl>
    <w:p w14:paraId="1463F209" w14:textId="21931524" w:rsidR="00FF06F4" w:rsidRDefault="00FF06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A87F2E">
        <w:rPr>
          <w:rFonts w:ascii="Arial" w:hAnsi="Arial" w:cs="Arial"/>
          <w:sz w:val="22"/>
          <w:szCs w:val="22"/>
        </w:rPr>
        <w:t>*primers with alternate barcodes can be used for independent samples</w:t>
      </w:r>
    </w:p>
    <w:p w14:paraId="30947033" w14:textId="77777777" w:rsidR="00A87F2E" w:rsidRDefault="00A87F2E">
      <w:pPr>
        <w:rPr>
          <w:rFonts w:ascii="Arial" w:hAnsi="Arial" w:cs="Arial"/>
          <w:sz w:val="22"/>
          <w:szCs w:val="22"/>
        </w:rPr>
      </w:pPr>
    </w:p>
    <w:p w14:paraId="5948EECD" w14:textId="0D5FFC4C" w:rsidR="00FF06F4" w:rsidRDefault="00FF06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Confirm amplification of a 206 bp product by gel </w:t>
      </w:r>
      <w:r w:rsidR="006C542D">
        <w:rPr>
          <w:rFonts w:ascii="Arial" w:hAnsi="Arial" w:cs="Arial"/>
          <w:sz w:val="22"/>
          <w:szCs w:val="22"/>
        </w:rPr>
        <w:t xml:space="preserve">or capillary </w:t>
      </w:r>
      <w:r>
        <w:rPr>
          <w:rFonts w:ascii="Arial" w:hAnsi="Arial" w:cs="Arial"/>
          <w:sz w:val="22"/>
          <w:szCs w:val="22"/>
        </w:rPr>
        <w:t>electrophoresis and perform a DNA purification.</w:t>
      </w:r>
    </w:p>
    <w:p w14:paraId="5DFE1CC4" w14:textId="77777777" w:rsidR="00FF06F4" w:rsidRDefault="00FF06F4">
      <w:pPr>
        <w:rPr>
          <w:rFonts w:ascii="Arial" w:hAnsi="Arial" w:cs="Arial"/>
          <w:sz w:val="22"/>
          <w:szCs w:val="22"/>
        </w:rPr>
      </w:pPr>
    </w:p>
    <w:p w14:paraId="78A2736D" w14:textId="77777777" w:rsidR="00FF06F4" w:rsidRPr="00FF06F4" w:rsidRDefault="00FF06F4">
      <w:pPr>
        <w:rPr>
          <w:rFonts w:ascii="Arial" w:hAnsi="Arial" w:cs="Arial"/>
          <w:sz w:val="22"/>
          <w:szCs w:val="22"/>
        </w:rPr>
      </w:pPr>
      <w:r w:rsidRPr="006C542D">
        <w:rPr>
          <w:rFonts w:ascii="Arial" w:hAnsi="Arial" w:cs="Arial"/>
          <w:sz w:val="22"/>
          <w:szCs w:val="22"/>
          <w:u w:val="single"/>
        </w:rPr>
        <w:t>PCR2</w:t>
      </w:r>
      <w:r w:rsidRPr="00FF06F4">
        <w:rPr>
          <w:rFonts w:ascii="Arial" w:hAnsi="Arial" w:cs="Arial"/>
          <w:sz w:val="22"/>
          <w:szCs w:val="22"/>
        </w:rPr>
        <w:t>: Append Illumina adapters to the library with the following conditions and thermal cycling protocol:</w:t>
      </w:r>
    </w:p>
    <w:p w14:paraId="0B330FD7" w14:textId="77777777" w:rsidR="006D42E2" w:rsidRPr="00FF06F4" w:rsidRDefault="006D42E2">
      <w:pPr>
        <w:rPr>
          <w:rFonts w:ascii="Arial" w:hAnsi="Arial" w:cs="Arial"/>
          <w:sz w:val="22"/>
          <w:szCs w:val="22"/>
        </w:rPr>
      </w:pPr>
    </w:p>
    <w:tbl>
      <w:tblPr>
        <w:tblW w:w="8190" w:type="dxa"/>
        <w:tblInd w:w="6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2415"/>
        <w:gridCol w:w="1710"/>
      </w:tblGrid>
      <w:tr w:rsidR="00FF06F4" w:rsidRPr="00FF06F4" w14:paraId="19AC62A2" w14:textId="77777777" w:rsidTr="006E51F6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6CAB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06F4">
              <w:rPr>
                <w:rFonts w:ascii="Arial" w:hAnsi="Arial" w:cs="Arial"/>
                <w:b/>
                <w:bCs/>
                <w:sz w:val="22"/>
                <w:szCs w:val="22"/>
              </w:rPr>
              <w:t>Reagent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B37D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06F4">
              <w:rPr>
                <w:rFonts w:ascii="Arial" w:hAnsi="Arial" w:cs="Arial"/>
                <w:b/>
                <w:bCs/>
                <w:sz w:val="22"/>
                <w:szCs w:val="22"/>
              </w:rPr>
              <w:t>Stock concentration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944E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06F4">
              <w:rPr>
                <w:rFonts w:ascii="Arial" w:hAnsi="Arial" w:cs="Arial"/>
                <w:b/>
                <w:bCs/>
                <w:sz w:val="22"/>
                <w:szCs w:val="22"/>
              </w:rPr>
              <w:t>Volume (µL)</w:t>
            </w:r>
          </w:p>
        </w:tc>
      </w:tr>
      <w:tr w:rsidR="00FF06F4" w:rsidRPr="00FF06F4" w14:paraId="0F19E82D" w14:textId="77777777" w:rsidTr="006E51F6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A2B8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Template amplicon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135C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0.125 ng/µL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71D7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F06F4" w:rsidRPr="00FF06F4" w14:paraId="0CE96008" w14:textId="77777777" w:rsidTr="006E51F6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C59F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Primer pair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49F3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5 µM each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E824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F06F4" w:rsidRPr="00FF06F4" w14:paraId="0B1520CA" w14:textId="77777777" w:rsidTr="006E51F6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DA29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Q5 buffer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4D22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5X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DD1B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FF06F4" w:rsidRPr="00FF06F4" w14:paraId="1FE88AF6" w14:textId="77777777" w:rsidTr="006E51F6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9FE7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dNTPs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3571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10 mM each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DF54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FF06F4" w:rsidRPr="00FF06F4" w14:paraId="02E5BAA2" w14:textId="77777777" w:rsidTr="006E51F6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B325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Q5 polymerase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59A1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2,000 units/mL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1808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FF06F4" w:rsidRPr="00FF06F4" w14:paraId="5413AD1D" w14:textId="77777777" w:rsidTr="006E51F6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685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Nuclease-free water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329B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16F6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11.4</w:t>
            </w:r>
          </w:p>
        </w:tc>
      </w:tr>
      <w:tr w:rsidR="00FF06F4" w:rsidRPr="00FF06F4" w14:paraId="1F98B61E" w14:textId="77777777" w:rsidTr="006E51F6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11E5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Total (per reaction)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484C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7BC" w14:textId="77777777" w:rsidR="00FF06F4" w:rsidRPr="00FF06F4" w:rsidRDefault="00FF06F4" w:rsidP="006E51F6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06F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</w:tbl>
    <w:p w14:paraId="408F692D" w14:textId="77777777" w:rsidR="00FF06F4" w:rsidRDefault="00FF06F4">
      <w:pPr>
        <w:rPr>
          <w:rFonts w:ascii="Arial" w:hAnsi="Arial" w:cs="Arial"/>
          <w:sz w:val="22"/>
          <w:szCs w:val="22"/>
        </w:rPr>
      </w:pPr>
      <w:r w:rsidRPr="00FF06F4">
        <w:rPr>
          <w:rFonts w:ascii="Arial" w:hAnsi="Arial" w:cs="Arial"/>
          <w:sz w:val="22"/>
          <w:szCs w:val="22"/>
        </w:rPr>
        <w:t>98 ºC for 2 min, 10X (98 ºC for 10 s, 65 ºC for 30 s, and 72 ºC for 30 s), and 72 ºC for 5 min</w:t>
      </w:r>
    </w:p>
    <w:p w14:paraId="58C2B9BD" w14:textId="77777777" w:rsidR="00FF06F4" w:rsidRDefault="00FF06F4">
      <w:pPr>
        <w:rPr>
          <w:rFonts w:ascii="Arial" w:hAnsi="Arial" w:cs="Arial"/>
          <w:sz w:val="22"/>
          <w:szCs w:val="22"/>
        </w:rPr>
      </w:pPr>
    </w:p>
    <w:p w14:paraId="415C720F" w14:textId="77777777" w:rsidR="00FF06F4" w:rsidRDefault="00FF06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 PCR2 primer pair:</w:t>
      </w:r>
    </w:p>
    <w:tbl>
      <w:tblPr>
        <w:tblW w:w="93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4272"/>
        <w:gridCol w:w="3600"/>
      </w:tblGrid>
      <w:tr w:rsidR="00FF06F4" w:rsidRPr="000C34EE" w14:paraId="50D454BF" w14:textId="77777777" w:rsidTr="006E51F6">
        <w:trPr>
          <w:trHeight w:val="315"/>
        </w:trPr>
        <w:tc>
          <w:tcPr>
            <w:tcW w:w="1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08098" w14:textId="77777777" w:rsidR="00FF06F4" w:rsidRPr="00FF06F4" w:rsidRDefault="00FF06F4" w:rsidP="006E51F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OJA1933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20436" w14:textId="56DB919D" w:rsidR="00FF06F4" w:rsidRPr="00FF06F4" w:rsidRDefault="00FF06F4" w:rsidP="006E51F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P5 </w:t>
            </w:r>
            <w:r w:rsidR="007B36A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PCR #2</w:t>
            </w: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primer Illumina 501 with TATAGCCT barcode (AGGCTATA for </w:t>
            </w:r>
            <w:proofErr w:type="spellStart"/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NextSeq</w:t>
            </w:r>
            <w:proofErr w:type="spellEnd"/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 (P5-1)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85FE8" w14:textId="77777777" w:rsidR="00FF06F4" w:rsidRPr="00FF06F4" w:rsidRDefault="00FF06F4" w:rsidP="006E51F6">
            <w:pPr>
              <w:rPr>
                <w:rFonts w:ascii="Consolas" w:eastAsia="Times New Roman" w:hAnsi="Consolas" w:cs="Consolas"/>
                <w:color w:val="000000"/>
                <w:sz w:val="22"/>
                <w:szCs w:val="22"/>
              </w:rPr>
            </w:pPr>
            <w:r w:rsidRPr="00FF06F4">
              <w:rPr>
                <w:rFonts w:ascii="Consolas" w:eastAsia="Times New Roman" w:hAnsi="Consolas" w:cs="Consolas"/>
                <w:color w:val="000000"/>
                <w:sz w:val="22"/>
                <w:szCs w:val="22"/>
              </w:rPr>
              <w:t>AATGATACGGCGACCACCGAGATCTACACTATAGCCTACACTCTTTCCCTACACGACGCTCTTCCGATCT</w:t>
            </w:r>
          </w:p>
        </w:tc>
      </w:tr>
      <w:tr w:rsidR="00FF06F4" w:rsidRPr="000C34EE" w14:paraId="692036FC" w14:textId="77777777" w:rsidTr="00FF06F4">
        <w:trPr>
          <w:trHeight w:val="315"/>
        </w:trPr>
        <w:tc>
          <w:tcPr>
            <w:tcW w:w="1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3FAD3" w14:textId="77777777" w:rsidR="00FF06F4" w:rsidRPr="00FF06F4" w:rsidRDefault="00FF06F4" w:rsidP="006E51F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OJA1941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A6FE2" w14:textId="17D1E8C9" w:rsidR="00FF06F4" w:rsidRPr="00FF06F4" w:rsidRDefault="00FF06F4" w:rsidP="006E51F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P7 </w:t>
            </w:r>
            <w:r w:rsidR="007B36A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PCR #2 </w:t>
            </w:r>
            <w:r w:rsidRPr="00FF06F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primer Illumina 701 with ATTACTCG barcode (P7-1)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2F510" w14:textId="77777777" w:rsidR="00FF06F4" w:rsidRPr="00FF06F4" w:rsidRDefault="00FF06F4" w:rsidP="006E51F6">
            <w:pPr>
              <w:rPr>
                <w:rFonts w:ascii="Consolas" w:eastAsia="Times New Roman" w:hAnsi="Consolas" w:cs="Consolas"/>
                <w:color w:val="000000"/>
                <w:sz w:val="22"/>
                <w:szCs w:val="22"/>
              </w:rPr>
            </w:pPr>
            <w:r w:rsidRPr="00FF06F4">
              <w:rPr>
                <w:rFonts w:ascii="Consolas" w:eastAsia="Times New Roman" w:hAnsi="Consolas" w:cs="Consolas"/>
                <w:color w:val="000000"/>
                <w:sz w:val="22"/>
                <w:szCs w:val="22"/>
              </w:rPr>
              <w:t>CAAGCAGAAGACGGCATACGAGATCGAGTAATGTGACTGGAGTTCAGACGTGTGCTCTTCCGATCT</w:t>
            </w:r>
          </w:p>
        </w:tc>
      </w:tr>
    </w:tbl>
    <w:p w14:paraId="5304A2BE" w14:textId="77777777" w:rsidR="007B36A7" w:rsidRDefault="007B36A7" w:rsidP="007B36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*primers with alternate barcodes can be used for independent samples</w:t>
      </w:r>
    </w:p>
    <w:p w14:paraId="13EA4907" w14:textId="77777777" w:rsidR="00FF06F4" w:rsidRDefault="00FF06F4">
      <w:pPr>
        <w:rPr>
          <w:rFonts w:ascii="Arial" w:hAnsi="Arial" w:cs="Arial"/>
          <w:sz w:val="22"/>
          <w:szCs w:val="22"/>
        </w:rPr>
      </w:pPr>
    </w:p>
    <w:p w14:paraId="1E003F1A" w14:textId="41CAF566" w:rsidR="00FF06F4" w:rsidRDefault="00FF06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Confirm amplification of a 279 bp product by gel </w:t>
      </w:r>
      <w:r w:rsidR="007B36A7">
        <w:rPr>
          <w:rFonts w:ascii="Arial" w:hAnsi="Arial" w:cs="Arial"/>
          <w:sz w:val="22"/>
          <w:szCs w:val="22"/>
        </w:rPr>
        <w:t xml:space="preserve">or capillary </w:t>
      </w:r>
      <w:r>
        <w:rPr>
          <w:rFonts w:ascii="Arial" w:hAnsi="Arial" w:cs="Arial"/>
          <w:sz w:val="22"/>
          <w:szCs w:val="22"/>
        </w:rPr>
        <w:t>electrophoresis and perform a DNA purification. Quantify the library and proceed to Illumina NGS.</w:t>
      </w:r>
    </w:p>
    <w:p w14:paraId="0A818CB5" w14:textId="77777777" w:rsidR="00FF06F4" w:rsidRPr="00FF06F4" w:rsidRDefault="00FF06F4">
      <w:pPr>
        <w:rPr>
          <w:rFonts w:ascii="Arial" w:hAnsi="Arial" w:cs="Arial"/>
          <w:sz w:val="22"/>
          <w:szCs w:val="22"/>
        </w:rPr>
      </w:pPr>
    </w:p>
    <w:p w14:paraId="26FFC170" w14:textId="77777777" w:rsidR="00F240CC" w:rsidRPr="00FF06F4" w:rsidRDefault="00F240CC">
      <w:pPr>
        <w:rPr>
          <w:rFonts w:ascii="Arial" w:hAnsi="Arial" w:cs="Arial"/>
          <w:b/>
          <w:sz w:val="22"/>
          <w:szCs w:val="22"/>
        </w:rPr>
      </w:pPr>
      <w:r w:rsidRPr="00FF06F4">
        <w:rPr>
          <w:rFonts w:ascii="Arial" w:hAnsi="Arial" w:cs="Arial"/>
          <w:b/>
          <w:sz w:val="22"/>
          <w:szCs w:val="22"/>
        </w:rPr>
        <w:t>Protocol for analysis of NGS verification</w:t>
      </w:r>
    </w:p>
    <w:p w14:paraId="3CACBCAE" w14:textId="77777777" w:rsidR="00F240CC" w:rsidRDefault="00F240CC">
      <w:pPr>
        <w:rPr>
          <w:rFonts w:ascii="Arial" w:hAnsi="Arial" w:cs="Arial"/>
          <w:sz w:val="22"/>
          <w:szCs w:val="22"/>
        </w:rPr>
      </w:pPr>
    </w:p>
    <w:p w14:paraId="49CF34A1" w14:textId="04CE71AC" w:rsidR="00FF06F4" w:rsidRDefault="00C908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and a detailed protocol for analysis of NGS verification can be found on the Kleinstiver Lab’s HT-PAMDA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 repository: </w:t>
      </w:r>
      <w:hyperlink r:id="rId4" w:history="1">
        <w:r w:rsidR="00B62DE9" w:rsidRPr="003C4883">
          <w:rPr>
            <w:rStyle w:val="Hyperlink"/>
            <w:rFonts w:ascii="Arial" w:hAnsi="Arial" w:cs="Arial"/>
            <w:sz w:val="22"/>
            <w:szCs w:val="22"/>
          </w:rPr>
          <w:t>https://github.com/kleinstiverlab/HT-PAMDA</w:t>
        </w:r>
      </w:hyperlink>
      <w:r w:rsidR="00B62DE9">
        <w:rPr>
          <w:rFonts w:ascii="Arial" w:hAnsi="Arial" w:cs="Arial"/>
          <w:sz w:val="22"/>
          <w:szCs w:val="22"/>
        </w:rPr>
        <w:t xml:space="preserve"> </w:t>
      </w:r>
    </w:p>
    <w:p w14:paraId="2D22E107" w14:textId="77777777" w:rsidR="00FF06F4" w:rsidRPr="00FF06F4" w:rsidRDefault="00FF06F4">
      <w:pPr>
        <w:rPr>
          <w:rFonts w:ascii="Arial" w:hAnsi="Arial" w:cs="Arial"/>
          <w:sz w:val="22"/>
          <w:szCs w:val="22"/>
        </w:rPr>
      </w:pPr>
    </w:p>
    <w:p w14:paraId="2E1F8988" w14:textId="77777777" w:rsidR="00F240CC" w:rsidRDefault="00F240CC">
      <w:pPr>
        <w:rPr>
          <w:rFonts w:ascii="Arial" w:hAnsi="Arial" w:cs="Arial"/>
          <w:b/>
          <w:sz w:val="22"/>
          <w:szCs w:val="22"/>
        </w:rPr>
      </w:pPr>
      <w:r w:rsidRPr="00FF06F4">
        <w:rPr>
          <w:rFonts w:ascii="Arial" w:hAnsi="Arial" w:cs="Arial"/>
          <w:b/>
          <w:sz w:val="22"/>
          <w:szCs w:val="22"/>
        </w:rPr>
        <w:t>Representative NGS verification results</w:t>
      </w:r>
    </w:p>
    <w:p w14:paraId="0AEC04E5" w14:textId="77777777" w:rsidR="00F240CC" w:rsidRDefault="00F240CC">
      <w:pPr>
        <w:rPr>
          <w:rFonts w:ascii="Arial" w:hAnsi="Arial" w:cs="Arial"/>
          <w:b/>
          <w:sz w:val="22"/>
          <w:szCs w:val="22"/>
        </w:rPr>
      </w:pPr>
    </w:p>
    <w:p w14:paraId="1B847A8B" w14:textId="1F7BD888" w:rsidR="00462FEE" w:rsidRDefault="00C908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NGS verification reveals the distribution of PAM sequences</w:t>
      </w:r>
      <w:r w:rsidR="009D3F49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the randomized bases</w:t>
      </w:r>
      <w:r w:rsidR="009D3F49">
        <w:rPr>
          <w:rFonts w:ascii="Arial" w:hAnsi="Arial" w:cs="Arial"/>
          <w:sz w:val="22"/>
          <w:szCs w:val="22"/>
        </w:rPr>
        <w:t>) in</w:t>
      </w:r>
      <w:r>
        <w:rPr>
          <w:rFonts w:ascii="Arial" w:hAnsi="Arial" w:cs="Arial"/>
          <w:sz w:val="22"/>
          <w:szCs w:val="22"/>
        </w:rPr>
        <w:t xml:space="preserve"> the library. </w:t>
      </w:r>
      <w:r w:rsidR="009D3F49">
        <w:rPr>
          <w:rFonts w:ascii="Arial" w:hAnsi="Arial" w:cs="Arial"/>
          <w:sz w:val="22"/>
          <w:szCs w:val="22"/>
        </w:rPr>
        <w:t>In a</w:t>
      </w:r>
      <w:r>
        <w:rPr>
          <w:rFonts w:ascii="Arial" w:hAnsi="Arial" w:cs="Arial"/>
          <w:sz w:val="22"/>
          <w:szCs w:val="22"/>
        </w:rPr>
        <w:t xml:space="preserve"> typical library</w:t>
      </w:r>
      <w:r w:rsidR="009D3F4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9D3F49">
        <w:rPr>
          <w:rFonts w:ascii="Arial" w:hAnsi="Arial" w:cs="Arial"/>
          <w:sz w:val="22"/>
          <w:szCs w:val="22"/>
        </w:rPr>
        <w:t xml:space="preserve">the </w:t>
      </w:r>
      <w:r w:rsidR="00462FEE">
        <w:rPr>
          <w:rFonts w:ascii="Arial" w:hAnsi="Arial" w:cs="Arial"/>
          <w:sz w:val="22"/>
          <w:szCs w:val="22"/>
        </w:rPr>
        <w:t xml:space="preserve">representation of </w:t>
      </w:r>
      <w:r w:rsidR="00B62DE9">
        <w:rPr>
          <w:rFonts w:ascii="Arial" w:hAnsi="Arial" w:cs="Arial"/>
          <w:sz w:val="22"/>
          <w:szCs w:val="22"/>
        </w:rPr>
        <w:t xml:space="preserve">each sequence should be roughly normally distributed. For example, </w:t>
      </w:r>
      <w:r w:rsidR="00462FEE">
        <w:rPr>
          <w:rFonts w:ascii="Arial" w:hAnsi="Arial" w:cs="Arial"/>
          <w:sz w:val="22"/>
          <w:szCs w:val="22"/>
        </w:rPr>
        <w:t xml:space="preserve">the </w:t>
      </w:r>
      <w:r w:rsidR="009D3F49">
        <w:rPr>
          <w:rFonts w:ascii="Arial" w:hAnsi="Arial" w:cs="Arial"/>
          <w:sz w:val="22"/>
          <w:szCs w:val="22"/>
        </w:rPr>
        <w:t xml:space="preserve">most abundant 4 </w:t>
      </w:r>
      <w:proofErr w:type="spellStart"/>
      <w:r w:rsidR="009D3F49">
        <w:rPr>
          <w:rFonts w:ascii="Arial" w:hAnsi="Arial" w:cs="Arial"/>
          <w:sz w:val="22"/>
          <w:szCs w:val="22"/>
        </w:rPr>
        <w:t>nt</w:t>
      </w:r>
      <w:proofErr w:type="spellEnd"/>
      <w:r w:rsidR="009D3F49">
        <w:rPr>
          <w:rFonts w:ascii="Arial" w:hAnsi="Arial" w:cs="Arial"/>
          <w:sz w:val="22"/>
          <w:szCs w:val="22"/>
        </w:rPr>
        <w:t xml:space="preserve"> PAM is </w:t>
      </w:r>
      <w:r w:rsidR="00462FEE">
        <w:rPr>
          <w:rFonts w:ascii="Arial" w:hAnsi="Arial" w:cs="Arial"/>
          <w:sz w:val="22"/>
          <w:szCs w:val="22"/>
        </w:rPr>
        <w:t>less</w:t>
      </w:r>
      <w:r w:rsidR="009D3F49">
        <w:rPr>
          <w:rFonts w:ascii="Arial" w:hAnsi="Arial" w:cs="Arial"/>
          <w:sz w:val="22"/>
          <w:szCs w:val="22"/>
        </w:rPr>
        <w:t xml:space="preserve"> than three times </w:t>
      </w:r>
      <w:r w:rsidR="00462FEE">
        <w:rPr>
          <w:rFonts w:ascii="Arial" w:hAnsi="Arial" w:cs="Arial"/>
          <w:sz w:val="22"/>
          <w:szCs w:val="22"/>
        </w:rPr>
        <w:t>that</w:t>
      </w:r>
      <w:r w:rsidR="009D3F49">
        <w:rPr>
          <w:rFonts w:ascii="Arial" w:hAnsi="Arial" w:cs="Arial"/>
          <w:sz w:val="22"/>
          <w:szCs w:val="22"/>
        </w:rPr>
        <w:t xml:space="preserve"> of the </w:t>
      </w:r>
      <w:r w:rsidR="00462FEE">
        <w:rPr>
          <w:rFonts w:ascii="Arial" w:hAnsi="Arial" w:cs="Arial"/>
          <w:sz w:val="22"/>
          <w:szCs w:val="22"/>
        </w:rPr>
        <w:t xml:space="preserve">least abundant 4 </w:t>
      </w:r>
      <w:proofErr w:type="spellStart"/>
      <w:r w:rsidR="00462FEE">
        <w:rPr>
          <w:rFonts w:ascii="Arial" w:hAnsi="Arial" w:cs="Arial"/>
          <w:sz w:val="22"/>
          <w:szCs w:val="22"/>
        </w:rPr>
        <w:t>nt</w:t>
      </w:r>
      <w:proofErr w:type="spellEnd"/>
      <w:r w:rsidR="00462FEE">
        <w:rPr>
          <w:rFonts w:ascii="Arial" w:hAnsi="Arial" w:cs="Arial"/>
          <w:sz w:val="22"/>
          <w:szCs w:val="22"/>
        </w:rPr>
        <w:t xml:space="preserve"> PAM</w:t>
      </w:r>
      <w:r w:rsidR="00B62DE9">
        <w:rPr>
          <w:rFonts w:ascii="Arial" w:hAnsi="Arial" w:cs="Arial"/>
          <w:sz w:val="22"/>
          <w:szCs w:val="22"/>
        </w:rPr>
        <w:t xml:space="preserve"> (</w:t>
      </w:r>
      <w:r w:rsidR="00B62DE9" w:rsidRPr="00B62DE9">
        <w:rPr>
          <w:rFonts w:ascii="Arial" w:hAnsi="Arial" w:cs="Arial"/>
          <w:b/>
          <w:bCs/>
          <w:color w:val="0432FF"/>
          <w:sz w:val="22"/>
          <w:szCs w:val="22"/>
        </w:rPr>
        <w:t>Fig. 1</w:t>
      </w:r>
      <w:r w:rsidR="00B62DE9">
        <w:rPr>
          <w:rFonts w:ascii="Arial" w:hAnsi="Arial" w:cs="Arial"/>
          <w:sz w:val="22"/>
          <w:szCs w:val="22"/>
        </w:rPr>
        <w:t>)</w:t>
      </w:r>
      <w:r w:rsidR="00462FEE">
        <w:rPr>
          <w:rFonts w:ascii="Arial" w:hAnsi="Arial" w:cs="Arial"/>
          <w:sz w:val="22"/>
          <w:szCs w:val="22"/>
        </w:rPr>
        <w:t>.</w:t>
      </w:r>
    </w:p>
    <w:p w14:paraId="445DE68F" w14:textId="00DC8145" w:rsidR="00C908E7" w:rsidRDefault="00C145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7B96A43" wp14:editId="667D3A80">
            <wp:extent cx="4960495" cy="1770703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1" t="10596" r="8443"/>
                    <a:stretch/>
                  </pic:blipFill>
                  <pic:spPr bwMode="auto">
                    <a:xfrm>
                      <a:off x="0" y="0"/>
                      <a:ext cx="4962085" cy="177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3F49">
        <w:rPr>
          <w:rFonts w:ascii="Arial" w:hAnsi="Arial" w:cs="Arial"/>
          <w:sz w:val="22"/>
          <w:szCs w:val="22"/>
        </w:rPr>
        <w:t xml:space="preserve">  </w:t>
      </w:r>
    </w:p>
    <w:p w14:paraId="71888D57" w14:textId="77777777" w:rsidR="00C1454E" w:rsidRDefault="00C1454E">
      <w:pPr>
        <w:rPr>
          <w:rFonts w:ascii="Arial" w:hAnsi="Arial" w:cs="Arial"/>
          <w:sz w:val="22"/>
          <w:szCs w:val="22"/>
        </w:rPr>
      </w:pPr>
    </w:p>
    <w:p w14:paraId="3F2306F0" w14:textId="1C2B3906" w:rsidR="00B62DE9" w:rsidRPr="00B62DE9" w:rsidRDefault="00B62D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Fig. 1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sz w:val="22"/>
          <w:szCs w:val="22"/>
        </w:rPr>
        <w:t xml:space="preserve">Anticipated library distribution. </w:t>
      </w:r>
      <w:r w:rsidRPr="00B62DE9">
        <w:rPr>
          <w:rFonts w:ascii="Arial" w:hAnsi="Arial" w:cs="Arial"/>
          <w:sz w:val="22"/>
          <w:szCs w:val="22"/>
        </w:rPr>
        <w:t>The representation of each of the 256 4nt PAMs in</w:t>
      </w:r>
      <w:r w:rsidR="00E30AB4">
        <w:rPr>
          <w:rFonts w:ascii="Arial" w:hAnsi="Arial" w:cs="Arial"/>
          <w:sz w:val="22"/>
          <w:szCs w:val="22"/>
        </w:rPr>
        <w:t xml:space="preserve"> an example</w:t>
      </w:r>
      <w:r w:rsidRPr="00B62DE9">
        <w:rPr>
          <w:rFonts w:ascii="Arial" w:hAnsi="Arial" w:cs="Arial"/>
          <w:sz w:val="22"/>
          <w:szCs w:val="22"/>
        </w:rPr>
        <w:t xml:space="preserve"> substrate library</w:t>
      </w:r>
      <w:r w:rsidR="00E30AB4">
        <w:rPr>
          <w:rFonts w:ascii="Arial" w:hAnsi="Arial" w:cs="Arial"/>
          <w:sz w:val="22"/>
          <w:szCs w:val="22"/>
        </w:rPr>
        <w:t>. The abundance of each PAM in the library is represented as frequency distribution histogram (left</w:t>
      </w:r>
      <w:proofErr w:type="gramStart"/>
      <w:r w:rsidR="00E30AB4">
        <w:rPr>
          <w:rFonts w:ascii="Arial" w:hAnsi="Arial" w:cs="Arial"/>
          <w:sz w:val="22"/>
          <w:szCs w:val="22"/>
        </w:rPr>
        <w:t>), or</w:t>
      </w:r>
      <w:proofErr w:type="gramEnd"/>
      <w:r w:rsidR="00E30AB4">
        <w:rPr>
          <w:rFonts w:ascii="Arial" w:hAnsi="Arial" w:cs="Arial"/>
          <w:sz w:val="22"/>
          <w:szCs w:val="22"/>
        </w:rPr>
        <w:t xml:space="preserve"> represented as</w:t>
      </w:r>
      <w:r w:rsidRPr="00B62DE9">
        <w:rPr>
          <w:rFonts w:ascii="Arial" w:hAnsi="Arial" w:cs="Arial"/>
          <w:sz w:val="22"/>
          <w:szCs w:val="22"/>
        </w:rPr>
        <w:t xml:space="preserve"> from least to most abundant based on raw read counts</w:t>
      </w:r>
      <w:r w:rsidR="00E30AB4">
        <w:rPr>
          <w:rFonts w:ascii="Arial" w:hAnsi="Arial" w:cs="Arial"/>
          <w:sz w:val="22"/>
          <w:szCs w:val="22"/>
        </w:rPr>
        <w:t xml:space="preserve"> (right)</w:t>
      </w:r>
      <w:r w:rsidRPr="00B62DE9">
        <w:rPr>
          <w:rFonts w:ascii="Arial" w:hAnsi="Arial" w:cs="Arial"/>
          <w:sz w:val="22"/>
          <w:szCs w:val="22"/>
        </w:rPr>
        <w:t xml:space="preserve">. The narrow distribution of 4 </w:t>
      </w:r>
      <w:proofErr w:type="spellStart"/>
      <w:r w:rsidRPr="00B62DE9">
        <w:rPr>
          <w:rFonts w:ascii="Arial" w:hAnsi="Arial" w:cs="Arial"/>
          <w:sz w:val="22"/>
          <w:szCs w:val="22"/>
        </w:rPr>
        <w:t>nt</w:t>
      </w:r>
      <w:proofErr w:type="spellEnd"/>
      <w:r w:rsidRPr="00B62DE9">
        <w:rPr>
          <w:rFonts w:ascii="Arial" w:hAnsi="Arial" w:cs="Arial"/>
          <w:sz w:val="22"/>
          <w:szCs w:val="22"/>
        </w:rPr>
        <w:t xml:space="preserve"> PAMs in the untreated substrate library reflects a balanced library.</w:t>
      </w:r>
    </w:p>
    <w:p w14:paraId="6162E167" w14:textId="77777777" w:rsidR="00CC2758" w:rsidRDefault="00CC2758">
      <w:pPr>
        <w:rPr>
          <w:rFonts w:ascii="Arial" w:hAnsi="Arial" w:cs="Arial"/>
          <w:sz w:val="22"/>
          <w:szCs w:val="22"/>
        </w:rPr>
      </w:pPr>
    </w:p>
    <w:p w14:paraId="296E0403" w14:textId="77777777" w:rsidR="00651A83" w:rsidRDefault="00651A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Schematic representation of the libraries.</w:t>
      </w:r>
    </w:p>
    <w:p w14:paraId="7C9CA786" w14:textId="77777777" w:rsidR="00651A83" w:rsidRDefault="00651A83">
      <w:pPr>
        <w:rPr>
          <w:rFonts w:ascii="Arial" w:hAnsi="Arial" w:cs="Arial"/>
          <w:sz w:val="22"/>
          <w:szCs w:val="22"/>
        </w:rPr>
      </w:pPr>
    </w:p>
    <w:p w14:paraId="20D3C7FA" w14:textId="754EA1B0" w:rsidR="00651A83" w:rsidRDefault="00B62D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2BD43C" wp14:editId="79705EF4">
            <wp:extent cx="3378200" cy="2311400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215" w14:textId="26830892" w:rsidR="00B62DE9" w:rsidRPr="00B62DE9" w:rsidRDefault="00B62D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Fig. 2. Schematics of substrate libraries harboring randomized PAMs.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Pr="00B62DE9">
        <w:rPr>
          <w:rFonts w:ascii="Arial" w:hAnsi="Arial" w:cs="Arial"/>
          <w:b/>
          <w:bCs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,</w:t>
      </w:r>
      <w:r w:rsidRPr="00B62DE9">
        <w:rPr>
          <w:rFonts w:ascii="Arial" w:hAnsi="Arial" w:cs="Arial"/>
          <w:b/>
          <w:bCs/>
          <w:sz w:val="22"/>
          <w:szCs w:val="22"/>
        </w:rPr>
        <w:t>b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5D266C">
        <w:rPr>
          <w:rFonts w:ascii="Arial" w:hAnsi="Arial" w:cs="Arial"/>
          <w:sz w:val="22"/>
          <w:szCs w:val="22"/>
        </w:rPr>
        <w:t>the plasmid libraries are comprised of a fixed spacer sequence adjacent to a randomized sequence in place of the PAM, where the randomized sequence is on the 3’ or 5’ end of the spacer (</w:t>
      </w:r>
      <w:r w:rsidR="005D266C" w:rsidRPr="005D266C">
        <w:rPr>
          <w:rFonts w:ascii="Arial" w:hAnsi="Arial" w:cs="Arial"/>
          <w:b/>
          <w:bCs/>
          <w:sz w:val="22"/>
          <w:szCs w:val="22"/>
        </w:rPr>
        <w:t>panels a</w:t>
      </w:r>
      <w:r w:rsidR="005D266C">
        <w:rPr>
          <w:rFonts w:ascii="Arial" w:hAnsi="Arial" w:cs="Arial"/>
          <w:sz w:val="22"/>
          <w:szCs w:val="22"/>
        </w:rPr>
        <w:t xml:space="preserve"> and </w:t>
      </w:r>
      <w:r w:rsidR="005D266C" w:rsidRPr="005D266C">
        <w:rPr>
          <w:rFonts w:ascii="Arial" w:hAnsi="Arial" w:cs="Arial"/>
          <w:b/>
          <w:bCs/>
          <w:sz w:val="22"/>
          <w:szCs w:val="22"/>
        </w:rPr>
        <w:t>b</w:t>
      </w:r>
      <w:r w:rsidR="005D266C">
        <w:rPr>
          <w:rFonts w:ascii="Arial" w:hAnsi="Arial" w:cs="Arial"/>
          <w:sz w:val="22"/>
          <w:szCs w:val="22"/>
        </w:rPr>
        <w:t xml:space="preserve">, respectively). </w:t>
      </w:r>
      <w:r w:rsidR="00DA5D66">
        <w:rPr>
          <w:rFonts w:ascii="Arial" w:hAnsi="Arial" w:cs="Arial"/>
          <w:sz w:val="22"/>
          <w:szCs w:val="22"/>
        </w:rPr>
        <w:t>Libraries with 3’ or 5’ randomized PAMs can be used to characterize the PAM requirements of CRISPR-Cas9 or -Cas12 enzymes, respectively.</w:t>
      </w:r>
    </w:p>
    <w:sectPr w:rsidR="00B62DE9" w:rsidRPr="00B62DE9" w:rsidSect="00F8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A7"/>
    <w:rsid w:val="000554A3"/>
    <w:rsid w:val="00304BE4"/>
    <w:rsid w:val="00462FEE"/>
    <w:rsid w:val="005D266C"/>
    <w:rsid w:val="00651A83"/>
    <w:rsid w:val="006C542D"/>
    <w:rsid w:val="006D42E2"/>
    <w:rsid w:val="007A4E11"/>
    <w:rsid w:val="007B36A7"/>
    <w:rsid w:val="008002EC"/>
    <w:rsid w:val="009D3F49"/>
    <w:rsid w:val="00A66216"/>
    <w:rsid w:val="00A87F2E"/>
    <w:rsid w:val="00B62DE9"/>
    <w:rsid w:val="00B91820"/>
    <w:rsid w:val="00C1454E"/>
    <w:rsid w:val="00C908E7"/>
    <w:rsid w:val="00CC2758"/>
    <w:rsid w:val="00CE32A7"/>
    <w:rsid w:val="00DA5D66"/>
    <w:rsid w:val="00E30AB4"/>
    <w:rsid w:val="00F240CC"/>
    <w:rsid w:val="00F86751"/>
    <w:rsid w:val="00FF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8190C"/>
  <w15:chartTrackingRefBased/>
  <w15:docId w15:val="{0C26DF21-EB4C-DD4B-BEE9-5451CFDC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leinstiverlab/HT-PAM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T. Walton</dc:creator>
  <cp:keywords/>
  <dc:description/>
  <cp:lastModifiedBy>Ben Kleinstiver</cp:lastModifiedBy>
  <cp:revision>12</cp:revision>
  <dcterms:created xsi:type="dcterms:W3CDTF">2020-09-03T16:06:00Z</dcterms:created>
  <dcterms:modified xsi:type="dcterms:W3CDTF">2020-09-04T14:01:00Z</dcterms:modified>
</cp:coreProperties>
</file>