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0.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总体技术准则（贯穿所有模块）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 xml:space="preserve">EVM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一等公民：完全兼容 </w:t>
      </w:r>
      <w:r>
        <w:rPr>
          <w:rtl w:val="0"/>
          <w:lang w:val="en-US"/>
        </w:rPr>
        <w:t>Solidity/ABI/eth_* RPC</w:t>
      </w:r>
      <w:r>
        <w:rPr>
          <w:rFonts w:ascii="Arial Unicode MS" w:hAnsi="Arial Unicode MS" w:eastAsia="PingFang SC Regular" w:hint="eastAsia"/>
          <w:rtl w:val="0"/>
        </w:rPr>
        <w:t>，</w:t>
      </w:r>
      <w:r>
        <w:rPr>
          <w:rtl w:val="0"/>
          <w:lang w:val="de-DE"/>
        </w:rPr>
        <w:t xml:space="preserve">Gas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代币 </w:t>
      </w:r>
      <w:r>
        <w:rPr>
          <w:rtl w:val="0"/>
          <w:lang w:val="da-DK"/>
        </w:rPr>
        <w:t>= ABLE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</w:rPr>
        <w:t xml:space="preserve">PoS+BFT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共识：</w:t>
      </w:r>
      <w:r>
        <w:rPr>
          <w:rtl w:val="0"/>
        </w:rPr>
        <w:t>3</w:t>
      </w:r>
      <w:r>
        <w:rPr>
          <w:rtl w:val="0"/>
        </w:rPr>
        <w:t>–</w:t>
      </w:r>
      <w:r>
        <w:rPr>
          <w:rtl w:val="0"/>
        </w:rPr>
        <w:t xml:space="preserve">5s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出块、最终性 </w:t>
      </w:r>
      <w:r>
        <w:rPr>
          <w:rtl w:val="0"/>
        </w:rPr>
        <w:t xml:space="preserve">≤ </w:t>
      </w:r>
      <w:r>
        <w:rPr>
          <w:rtl w:val="0"/>
        </w:rPr>
        <w:t xml:space="preserve">2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个区块，目标 </w:t>
      </w:r>
      <w:r>
        <w:rPr>
          <w:rtl w:val="0"/>
        </w:rPr>
        <w:t xml:space="preserve">TPS </w:t>
      </w:r>
      <w:r>
        <w:rPr>
          <w:rtl w:val="0"/>
        </w:rPr>
        <w:t xml:space="preserve">≥ </w:t>
      </w:r>
      <w:r>
        <w:rPr>
          <w:rtl w:val="0"/>
          <w:lang w:val="en-US"/>
        </w:rPr>
        <w:t>5,000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模块化：共识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执行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数据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跨链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预言机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合规可热插拔升级。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可信可验证：所有关键动作（铸币、分红、桥转、喂价、治理）皆可链上审计。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</w:rPr>
        <w:t xml:space="preserve">SRE </w:t>
      </w:r>
      <w:r>
        <w:rPr>
          <w:rFonts w:ascii="Arial Unicode MS" w:hAnsi="Arial Unicode MS" w:eastAsia="PingFang SC Regular" w:hint="eastAsia"/>
          <w:rtl w:val="0"/>
        </w:rPr>
        <w:t>先行：</w:t>
      </w:r>
      <w:r>
        <w:rPr>
          <w:rtl w:val="0"/>
        </w:rPr>
        <w:t>SLO/</w:t>
      </w:r>
      <w:r>
        <w:rPr>
          <w:rFonts w:ascii="Arial Unicode MS" w:hAnsi="Arial Unicode MS" w:eastAsia="PingFang SC Regular" w:hint="eastAsia"/>
          <w:rtl w:val="0"/>
        </w:rPr>
        <w:t>灰度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回滚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</w:rPr>
        <w:t>容量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</w:rPr>
        <w:t>混沌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压测体系与代码同步上线。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钱包（</w:t>
      </w:r>
      <w:r>
        <w:rPr>
          <w:rtl w:val="0"/>
          <w:lang w:val="pt-PT"/>
        </w:rPr>
        <w:t xml:space="preserve">EVM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兼容）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目标：让 </w:t>
      </w:r>
      <w:r>
        <w:rPr>
          <w:rtl w:val="0"/>
        </w:rPr>
        <w:t xml:space="preserve">C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端投资人 </w:t>
      </w:r>
      <w:r>
        <w:rPr>
          <w:rtl w:val="0"/>
        </w:rPr>
        <w:t xml:space="preserve">&amp; B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端发行人零摩擦接入链、签名和收分红。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关键设计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钱包形态：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用户端：</w:t>
      </w:r>
      <w:r>
        <w:rPr>
          <w:rtl w:val="0"/>
          <w:lang w:val="en-US"/>
        </w:rPr>
        <w:t xml:space="preserve">MetaMask / WalletConnect / Ledger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全兼容；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产业端：</w:t>
      </w:r>
      <w:r>
        <w:rPr>
          <w:rtl w:val="0"/>
          <w:lang w:val="fr-FR"/>
        </w:rPr>
        <w:t xml:space="preserve">MPC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托管钱包（</w:t>
      </w:r>
      <w:r>
        <w:rPr>
          <w:rtl w:val="0"/>
          <w:lang w:val="en-US"/>
        </w:rPr>
        <w:t xml:space="preserve">Fireblocks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类）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多签（基金会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节点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</w:rPr>
        <w:t xml:space="preserve">律所 </w:t>
      </w:r>
      <w:r>
        <w:rPr>
          <w:rtl w:val="0"/>
        </w:rPr>
        <w:t>2/3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插件层：</w:t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资产卡直读（合约元数据、分红日历、法律哈希、节点签章）。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风险提示：受限可转让（</w:t>
      </w:r>
      <w:r>
        <w:rPr>
          <w:rtl w:val="0"/>
          <w:lang w:val="de-DE"/>
        </w:rPr>
        <w:t>ERC-3643/T-REX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）白名单自动校验；地区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合规模块提示。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TW" w:eastAsia="zh-TW"/>
        </w:rPr>
        <w:t>接口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标准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</w:rPr>
        <w:t>EIP-155/EIP-712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en-US"/>
        </w:rPr>
        <w:t>typed data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）签名；</w:t>
      </w:r>
      <w:r>
        <w:rPr>
          <w:rtl w:val="0"/>
          <w:lang w:val="en-US"/>
        </w:rPr>
        <w:t>WalletConnect v2</w:t>
      </w:r>
      <w:r>
        <w:rPr>
          <w:rFonts w:ascii="Arial Unicode MS" w:hAnsi="Arial Unicode MS" w:eastAsia="PingFang SC Regular" w:hint="eastAsia"/>
          <w:rtl w:val="0"/>
        </w:rPr>
        <w:t>；</w:t>
      </w:r>
      <w:r>
        <w:rPr>
          <w:rtl w:val="0"/>
          <w:lang w:val="fr-FR"/>
        </w:rPr>
        <w:t>MPC API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pt-PT"/>
        </w:rPr>
        <w:t>tSS/ECDSA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分红领取：</w:t>
      </w:r>
      <w:r>
        <w:rPr>
          <w:rtl w:val="0"/>
          <w:lang w:val="en-US"/>
        </w:rPr>
        <w:t xml:space="preserve">Merkle Distributor + EIP-2612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批量授权优化。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连接成功率 </w:t>
      </w:r>
      <w:r>
        <w:rPr>
          <w:rtl w:val="0"/>
        </w:rPr>
        <w:t xml:space="preserve">≥ </w:t>
      </w:r>
      <w:r>
        <w:rPr>
          <w:rtl w:val="0"/>
        </w:rPr>
        <w:t>99.9%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；签名往返 </w:t>
      </w:r>
      <w:r>
        <w:rPr>
          <w:rtl w:val="0"/>
          <w:lang w:val="en-US"/>
        </w:rPr>
        <w:t>&lt; 400ms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（同区域）。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私钥从不落地；</w:t>
      </w:r>
      <w:r>
        <w:rPr>
          <w:rtl w:val="0"/>
        </w:rPr>
        <w:t xml:space="preserve">MPC 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风险限额（</w:t>
      </w:r>
      <w:r>
        <w:rPr>
          <w:rtl w:val="0"/>
        </w:rPr>
        <w:t>24h/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出金白名单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二次确认）。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优先级：</w:t>
      </w:r>
      <w:r>
        <w:rPr>
          <w:rtl w:val="0"/>
        </w:rPr>
        <w:t>P0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en-US"/>
        </w:rPr>
        <w:t xml:space="preserve">MVP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必须）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2) RPC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节点（公共网关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专业网关）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目标：稳定、可观测、可弹性，支撑交易所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浏览器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应用高并发。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关键设计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 xml:space="preserve">多域名入口：公共 </w:t>
      </w:r>
      <w:r>
        <w:rPr>
          <w:rtl w:val="0"/>
          <w:lang w:val="fr-FR"/>
        </w:rPr>
        <w:t>RPC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（限频）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专业 </w:t>
      </w:r>
      <w:r>
        <w:rPr>
          <w:rtl w:val="0"/>
          <w:lang w:val="fr-FR"/>
        </w:rPr>
        <w:t>RPC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</w:rPr>
        <w:t xml:space="preserve">KYC + </w:t>
      </w:r>
      <w:r>
        <w:rPr>
          <w:rFonts w:ascii="Arial Unicode MS" w:hAnsi="Arial Unicode MS" w:eastAsia="PingFang SC Regular" w:hint="eastAsia"/>
          <w:rtl w:val="0"/>
        </w:rPr>
        <w:t xml:space="preserve">高配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付费）。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读写分离：</w:t>
      </w:r>
      <w:r>
        <w:rPr>
          <w:rtl w:val="0"/>
          <w:lang w:val="en-US"/>
        </w:rPr>
        <w:t xml:space="preserve">Archive/Full/Light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节点分层；交易写入专网，查询走只读池。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限流与防滥用：</w:t>
      </w:r>
      <w:r>
        <w:rPr>
          <w:rtl w:val="0"/>
        </w:rPr>
        <w:t>IP/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账户级 </w:t>
      </w:r>
      <w:r>
        <w:rPr>
          <w:rtl w:val="0"/>
          <w:lang w:val="fr-FR"/>
        </w:rPr>
        <w:t>QPS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、爆破</w:t>
      </w:r>
      <w:r>
        <w:rPr>
          <w:rtl w:val="0"/>
          <w:lang w:val="de-DE"/>
        </w:rPr>
        <w:t xml:space="preserve">/MEV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保护、动态 </w:t>
      </w:r>
      <w:r>
        <w:rPr>
          <w:rtl w:val="0"/>
        </w:rPr>
        <w:t>ban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索引加速：与 </w:t>
      </w:r>
      <w:r>
        <w:rPr>
          <w:rtl w:val="0"/>
          <w:lang w:val="de-DE"/>
        </w:rPr>
        <w:t>Indexer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en-US"/>
        </w:rPr>
        <w:t>The Graph/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自研）打通，复杂查询走 </w:t>
      </w:r>
      <w:r>
        <w:rPr>
          <w:rtl w:val="0"/>
        </w:rPr>
        <w:t>GraphQL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TW" w:eastAsia="zh-TW"/>
        </w:rPr>
        <w:t>接口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标准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 xml:space="preserve">JSON-RPC eth_* </w:t>
      </w:r>
      <w:r>
        <w:rPr>
          <w:rFonts w:ascii="Arial Unicode MS" w:hAnsi="Arial Unicode MS" w:eastAsia="PingFang SC Regular" w:hint="eastAsia"/>
          <w:rtl w:val="0"/>
        </w:rPr>
        <w:t>全量；</w:t>
      </w:r>
      <w:r>
        <w:rPr>
          <w:rtl w:val="0"/>
          <w:lang w:val="en-US"/>
        </w:rPr>
        <w:t xml:space="preserve">WebSocket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订阅；</w:t>
      </w:r>
      <w:r>
        <w:rPr>
          <w:rtl w:val="0"/>
        </w:rPr>
        <w:t>gRPC/GraphQL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Replay/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回放节点：</w:t>
      </w:r>
      <w:r>
        <w:rPr>
          <w:rtl w:val="0"/>
          <w:lang w:val="es-ES_tradnl"/>
        </w:rPr>
        <w:t xml:space="preserve">Kafka/Pulsar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事件总线。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</w:rPr>
        <w:t xml:space="preserve">p95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延迟 </w:t>
      </w:r>
      <w:r>
        <w:rPr>
          <w:rtl w:val="0"/>
          <w:lang w:val="en-US"/>
        </w:rPr>
        <w:t>&lt; 150ms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；可用性 </w:t>
      </w:r>
      <w:r>
        <w:rPr>
          <w:rtl w:val="0"/>
        </w:rPr>
        <w:t xml:space="preserve">≥ </w:t>
      </w:r>
      <w:r>
        <w:rPr>
          <w:rtl w:val="0"/>
        </w:rPr>
        <w:t>99.95%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；每秒</w:t>
      </w:r>
      <w:r>
        <w:rPr>
          <w:rtl w:val="0"/>
        </w:rPr>
        <w:t>≥</w:t>
      </w:r>
      <w:r>
        <w:rPr>
          <w:rtl w:val="0"/>
          <w:lang w:val="en-US"/>
        </w:rPr>
        <w:t>10k req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WAF + mTLS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（专业网关）；大促自动扩容（</w:t>
      </w:r>
      <w:r>
        <w:rPr>
          <w:rtl w:val="0"/>
        </w:rPr>
        <w:t>HPA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优先级：</w:t>
      </w:r>
      <w:r>
        <w:rPr>
          <w:rtl w:val="0"/>
        </w:rPr>
        <w:t>P0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区块链浏览器（</w:t>
      </w:r>
      <w:r>
        <w:rPr>
          <w:rtl w:val="0"/>
        </w:rPr>
        <w:t>Explorer + Analytics</w:t>
      </w:r>
      <w:r>
        <w:rPr>
          <w:rFonts w:ascii="Arial Unicode MS" w:hAnsi="Arial Unicode MS" w:eastAsia="PingFang SC Regular" w:hint="eastAsia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目标：把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可验证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做到极致，让监管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投资人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一眼信任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关键设计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三层视图：区块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交易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账户 </w:t>
      </w:r>
      <w:r>
        <w:rPr>
          <w:rtl w:val="0"/>
        </w:rPr>
        <w:t xml:space="preserve">+ 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资产页（产权文件哈希、节点签章、分红记录、估值喂价轨迹）。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地图可视化：节点地理分布、</w:t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资产地区热力。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监管模式：可筛选受限交易、</w:t>
      </w:r>
      <w:r>
        <w:rPr>
          <w:rtl w:val="0"/>
          <w:lang w:val="en-US"/>
        </w:rPr>
        <w:t xml:space="preserve">KYC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白名单检查、洗钱风险标签（只展示级别，不展示隐私）。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TW" w:eastAsia="zh-TW"/>
        </w:rPr>
        <w:t>接口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标准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de-DE"/>
        </w:rPr>
        <w:t>Indexer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  <w:lang w:val="de-DE"/>
        </w:rPr>
        <w:t>Subgraph/</w:t>
      </w:r>
      <w:r>
        <w:rPr>
          <w:rFonts w:ascii="Arial Unicode MS" w:hAnsi="Arial Unicode MS" w:eastAsia="PingFang SC Regular" w:hint="eastAsia"/>
          <w:rtl w:val="0"/>
        </w:rPr>
        <w:t xml:space="preserve">自研 </w:t>
      </w:r>
      <w:r>
        <w:rPr>
          <w:rtl w:val="0"/>
        </w:rPr>
        <w:t xml:space="preserve">ETL </w:t>
      </w:r>
      <w:r>
        <w:rPr>
          <w:rtl w:val="0"/>
        </w:rPr>
        <w:t xml:space="preserve">→ </w:t>
      </w:r>
      <w:r>
        <w:rPr>
          <w:rtl w:val="0"/>
          <w:lang w:val="en-US"/>
        </w:rPr>
        <w:t>ClickHouse/Elastic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导出：</w:t>
      </w:r>
      <w:r>
        <w:rPr>
          <w:rtl w:val="0"/>
          <w:lang w:val="de-DE"/>
        </w:rPr>
        <w:t>CSV/JSON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，审计 </w:t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（时间窗</w:t>
      </w:r>
      <w:r>
        <w:rPr>
          <w:rtl w:val="0"/>
        </w:rPr>
        <w:t>+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合约集）。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全量索引 </w:t>
      </w:r>
      <w:r>
        <w:rPr>
          <w:rtl w:val="0"/>
        </w:rPr>
        <w:t>&lt; 24h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；增量延迟 </w:t>
      </w:r>
      <w:r>
        <w:rPr>
          <w:rtl w:val="0"/>
          <w:lang w:val="da-DK"/>
        </w:rPr>
        <w:t>&lt; 2s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；查询 </w:t>
      </w:r>
      <w:r>
        <w:rPr>
          <w:rtl w:val="0"/>
          <w:lang w:val="en-US"/>
        </w:rPr>
        <w:t>p95 &lt; 300ms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结果可重算（</w:t>
      </w:r>
      <w:r>
        <w:rPr>
          <w:rtl w:val="0"/>
          <w:lang w:val="it-IT"/>
        </w:rPr>
        <w:t>Deterministic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），审计校验和。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优先级：</w:t>
      </w:r>
      <w:r>
        <w:rPr>
          <w:rtl w:val="0"/>
        </w:rPr>
        <w:t>P0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算力设备（验证节点 </w:t>
      </w:r>
      <w:r>
        <w:rPr>
          <w:rtl w:val="0"/>
        </w:rPr>
        <w:t xml:space="preserve">/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服务节点 </w:t>
      </w:r>
      <w:r>
        <w:rPr>
          <w:rtl w:val="0"/>
        </w:rPr>
        <w:t xml:space="preserve">/ AI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风控）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目标：全球多点、低延迟、抗故障；</w:t>
      </w:r>
      <w:r>
        <w:rPr>
          <w:rtl w:val="0"/>
          <w:lang w:val="en-US"/>
        </w:rPr>
        <w:t xml:space="preserve">AI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风控与合规模块原生上链服务。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关键设计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节点类型：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it-IT"/>
        </w:rPr>
        <w:t>Validator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 xml:space="preserve">：裸金属 </w:t>
      </w:r>
      <w:r>
        <w:rPr>
          <w:rtl w:val="0"/>
        </w:rPr>
        <w:t>+ HSM/TEE</w:t>
      </w:r>
      <w:r>
        <w:rPr>
          <w:rFonts w:ascii="Arial Unicode MS" w:hAnsi="Arial Unicode MS" w:eastAsia="PingFang SC Regular" w:hint="eastAsia"/>
          <w:rtl w:val="0"/>
        </w:rPr>
        <w:t>；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Service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  <w:lang w:val="en-US"/>
        </w:rPr>
        <w:t>Oracle/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合规模块执行；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fr-FR"/>
        </w:rPr>
        <w:t>Archive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：长期存储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</w:rPr>
        <w:t>快照。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安全芯片：</w:t>
      </w:r>
      <w:r>
        <w:rPr>
          <w:rtl w:val="0"/>
        </w:rPr>
        <w:t xml:space="preserve">HSM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或 </w:t>
      </w:r>
      <w:r>
        <w:rPr>
          <w:rtl w:val="0"/>
          <w:lang w:val="de-DE"/>
        </w:rPr>
        <w:t xml:space="preserve">SGX/TEE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用于出块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签名与密钥封装。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 xml:space="preserve">AI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风控：</w:t>
      </w:r>
      <w:r>
        <w:rPr>
          <w:rtl w:val="0"/>
        </w:rPr>
        <w:t xml:space="preserve">OCR/NLP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合规审查、异常交易检测（流式特征），以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风险分数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上链。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出块节点地理冗余（</w:t>
      </w:r>
      <w:r>
        <w:rPr>
          <w:rtl w:val="0"/>
        </w:rPr>
        <w:t>≥</w:t>
      </w:r>
      <w:r>
        <w:rPr>
          <w:rtl w:val="0"/>
        </w:rPr>
        <w:t xml:space="preserve">3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区）；灾备 </w:t>
      </w:r>
      <w:r>
        <w:rPr>
          <w:rtl w:val="0"/>
        </w:rPr>
        <w:t>RPO=0</w:t>
      </w:r>
      <w:r>
        <w:rPr>
          <w:rFonts w:ascii="Arial Unicode MS" w:hAnsi="Arial Unicode MS" w:eastAsia="PingFang SC Regular" w:hint="eastAsia"/>
          <w:rtl w:val="0"/>
        </w:rPr>
        <w:t>，</w:t>
      </w:r>
      <w:r>
        <w:rPr>
          <w:rtl w:val="0"/>
        </w:rPr>
        <w:t>RTO &lt; 15min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节点在线 </w:t>
      </w:r>
      <w:r>
        <w:rPr>
          <w:rtl w:val="0"/>
        </w:rPr>
        <w:t xml:space="preserve">≥ </w:t>
      </w:r>
      <w:r>
        <w:rPr>
          <w:rtl w:val="0"/>
        </w:rPr>
        <w:t>99.5%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；对等网络抗 </w:t>
      </w:r>
      <w:r>
        <w:rPr>
          <w:rtl w:val="0"/>
          <w:lang w:val="it-IT"/>
        </w:rPr>
        <w:t>DDoS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，启用 </w:t>
      </w:r>
      <w:r>
        <w:rPr>
          <w:rtl w:val="0"/>
          <w:lang w:val="en-US"/>
        </w:rPr>
        <w:t>QUIC/TLS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优先级：</w:t>
      </w:r>
      <w:r>
        <w:rPr>
          <w:rtl w:val="0"/>
        </w:rPr>
        <w:t>P1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（随主网扩大）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 xml:space="preserve">5) Token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标准（</w:t>
      </w:r>
      <w:r>
        <w:rPr>
          <w:rtl w:val="0"/>
          <w:lang w:val="en-US"/>
        </w:rPr>
        <w:t>RWA/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治理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合规）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目标：统一、可组合、合规可控。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关键设计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合规模块：基于 </w:t>
      </w:r>
      <w:r>
        <w:rPr>
          <w:rtl w:val="0"/>
          <w:lang w:val="es-ES_tradnl"/>
        </w:rPr>
        <w:t>ERC-3643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de-DE"/>
        </w:rPr>
        <w:t>T-REX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 扩展：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受限转让（</w:t>
      </w:r>
      <w:r>
        <w:rPr>
          <w:rtl w:val="0"/>
          <w:lang w:val="nl-NL"/>
        </w:rPr>
        <w:t>Transfer Hook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</w:rPr>
        <w:t>KYC/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地域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黑名单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锁定期）；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强制赎回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回收（法律事件触发）；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分红快照（快照块 </w:t>
      </w:r>
      <w:r>
        <w:rPr>
          <w:rtl w:val="0"/>
        </w:rPr>
        <w:t xml:space="preserve">+ Merkle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分发）；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资产元数据（法律文件哈希、估值、节点签章）。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治理代币 </w:t>
      </w:r>
      <w:r>
        <w:rPr>
          <w:rtl w:val="0"/>
          <w:lang w:val="da-DK"/>
        </w:rPr>
        <w:t>ABLE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</w:rPr>
        <w:t xml:space="preserve">EIP-20 + EIP-2612 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治理模块（投票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提案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锁仓）。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索引与披露：</w:t>
      </w:r>
      <w:r>
        <w:rPr>
          <w:rtl w:val="0"/>
          <w:lang w:val="nl-NL"/>
        </w:rPr>
        <w:t xml:space="preserve">Token Metadata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标准化（</w:t>
      </w:r>
      <w:r>
        <w:rPr>
          <w:rtl w:val="0"/>
          <w:lang w:val="de-DE"/>
        </w:rPr>
        <w:t>schema + IPFS/Arweave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合约覆盖率 </w:t>
      </w:r>
      <w:r>
        <w:rPr>
          <w:rtl w:val="0"/>
        </w:rPr>
        <w:t xml:space="preserve">≥ </w:t>
      </w:r>
      <w:r>
        <w:rPr>
          <w:rtl w:val="0"/>
        </w:rPr>
        <w:t>95%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；双审计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形式化验证关键函数（</w:t>
      </w:r>
      <w:r>
        <w:rPr>
          <w:rtl w:val="0"/>
          <w:lang w:val="nl-NL"/>
        </w:rPr>
        <w:t>transfer hooks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nl-NL"/>
        </w:rPr>
        <w:t>redeem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优先级：</w:t>
      </w:r>
      <w:r>
        <w:rPr>
          <w:rtl w:val="0"/>
        </w:rPr>
        <w:t>P0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6) DEX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、预言机与跨链桥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目标：让小众 </w:t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也有成交深度；喂价可信；跨链安全。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6.1 DEX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（混合架构）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撮合优先 </w:t>
      </w:r>
      <w:r>
        <w:rPr>
          <w:rtl w:val="0"/>
        </w:rPr>
        <w:t xml:space="preserve">+ AMM </w:t>
      </w:r>
      <w:r>
        <w:rPr>
          <w:rFonts w:ascii="Arial Unicode MS" w:hAnsi="Arial Unicode MS" w:eastAsia="PingFang SC Regular" w:hint="eastAsia"/>
          <w:rtl w:val="0"/>
        </w:rPr>
        <w:t>兜底：</w:t>
      </w:r>
      <w:r>
        <w:rPr>
          <w:rtl w:val="0"/>
          <w:lang w:val="es-ES_tradnl"/>
        </w:rPr>
        <w:t>CLOB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（价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时优先）</w:t>
      </w:r>
      <w:r>
        <w:rPr>
          <w:rtl w:val="0"/>
          <w:lang w:val="de-DE"/>
        </w:rPr>
        <w:t>+ v2/v3 Pool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；统一深度视图。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保护：默认价带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熔断、集合竞价首发；滑点保护与交易白名单（合规地理限制）。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流动性：官方 </w:t>
      </w:r>
      <w:r>
        <w:rPr>
          <w:rtl w:val="0"/>
        </w:rPr>
        <w:t xml:space="preserve">LP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锁仓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做市任务（靠 </w:t>
      </w:r>
      <w:r>
        <w:rPr>
          <w:rtl w:val="0"/>
          <w:lang w:val="da-DK"/>
        </w:rPr>
        <w:t xml:space="preserve">ABLE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激励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罚没条款）。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：撮合内核延迟 </w:t>
      </w:r>
      <w:r>
        <w:rPr>
          <w:rtl w:val="0"/>
        </w:rPr>
        <w:t>&lt; 100</w:t>
      </w:r>
      <w:r>
        <w:rPr>
          <w:rtl w:val="0"/>
        </w:rPr>
        <w:t>µ</w:t>
      </w:r>
      <w:r>
        <w:rPr>
          <w:rtl w:val="0"/>
        </w:rPr>
        <w:t>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；端到端 </w:t>
      </w:r>
      <w:r>
        <w:rPr>
          <w:rtl w:val="0"/>
        </w:rPr>
        <w:t>&lt; 200ms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；反自成交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洪水挂单防护。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6.2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预言机（</w:t>
      </w:r>
      <w:r>
        <w:rPr>
          <w:rtl w:val="0"/>
          <w:lang w:val="en-US"/>
        </w:rPr>
        <w:t>Oracle</w:t>
      </w:r>
      <w:r>
        <w:rPr>
          <w:rFonts w:ascii="Arial Unicode MS" w:hAnsi="Arial Unicode MS" w:eastAsia="PingFang SC Regular" w:hint="eastAsia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多源签名（</w:t>
      </w:r>
      <w:r>
        <w:rPr>
          <w:rtl w:val="0"/>
        </w:rPr>
        <w:t>≥</w:t>
      </w:r>
      <w:r>
        <w:rPr>
          <w:rtl w:val="0"/>
        </w:rPr>
        <w:t xml:space="preserve">3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源）；价格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估值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法律事件三类喂价。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 xml:space="preserve">聚合算法：中位数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偏差剔除（</w:t>
      </w:r>
      <w:r>
        <w:rPr>
          <w:rtl w:val="0"/>
          <w:lang w:val="pt-PT"/>
        </w:rPr>
        <w:t>MAD/</w:t>
      </w:r>
      <w:r>
        <w:rPr>
          <w:rtl w:val="0"/>
        </w:rPr>
        <w:t xml:space="preserve">σ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阈值）；延时确认防闪电贷。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法律事件喂价：过户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抵押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违约 </w:t>
      </w:r>
      <w:r>
        <w:rPr>
          <w:rtl w:val="0"/>
        </w:rPr>
        <w:t xml:space="preserve">→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触发合约回购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冻结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强清。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：喂价窗口 </w:t>
      </w:r>
      <w:r>
        <w:rPr>
          <w:rtl w:val="0"/>
          <w:lang w:val="en-US"/>
        </w:rPr>
        <w:t>30s</w:t>
      </w:r>
      <w:r>
        <w:rPr>
          <w:rtl w:val="0"/>
        </w:rPr>
        <w:t>–</w:t>
      </w:r>
      <w:r>
        <w:rPr>
          <w:rtl w:val="0"/>
          <w:lang w:val="en-US"/>
        </w:rPr>
        <w:t>300s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；异常自动降级；签名轮值、喂价审计链上可查。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6.3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跨链桥（</w:t>
      </w:r>
      <w:r>
        <w:rPr>
          <w:rtl w:val="0"/>
          <w:lang w:val="en-US"/>
        </w:rPr>
        <w:t>Bridge</w:t>
      </w:r>
      <w:r>
        <w:rPr>
          <w:rFonts w:ascii="Arial Unicode MS" w:hAnsi="Arial Unicode MS" w:eastAsia="PingFang SC Regular" w:hint="eastAsia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轻客户端优先（</w:t>
      </w:r>
      <w:r>
        <w:rPr>
          <w:rtl w:val="0"/>
        </w:rPr>
        <w:t>IBC/LC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）；若用多签桥 </w:t>
      </w:r>
      <w:r>
        <w:rPr>
          <w:rtl w:val="0"/>
        </w:rPr>
        <w:t xml:space="preserve">→ </w:t>
      </w:r>
      <w:r>
        <w:rPr>
          <w:rtl w:val="0"/>
          <w:lang w:val="en-US"/>
        </w:rPr>
        <w:t xml:space="preserve">M-of-N + TEE 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保险池。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资产映射：</w:t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仅跨链到有合规模块的目的链（白名单链）。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监控：</w:t>
      </w:r>
      <w:r>
        <w:rPr>
          <w:rtl w:val="0"/>
          <w:lang w:val="en-US"/>
        </w:rPr>
        <w:t xml:space="preserve">Proof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延迟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合约重放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阈值变更均需链上治理。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SLO/Sec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：转移确认 </w:t>
      </w:r>
      <w:r>
        <w:rPr>
          <w:rtl w:val="0"/>
        </w:rPr>
        <w:t>&lt; 5min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</w:rPr>
        <w:t>LC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）；多签桥需 </w:t>
      </w:r>
      <w:r>
        <w:rPr>
          <w:rtl w:val="0"/>
        </w:rPr>
        <w:t xml:space="preserve">24/7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监控与自动熔断。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优先级：</w:t>
      </w:r>
      <w:r>
        <w:rPr>
          <w:rtl w:val="0"/>
        </w:rPr>
        <w:t>P0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en-US"/>
        </w:rPr>
        <w:t>DEX/Oracle</w:t>
      </w:r>
      <w:r>
        <w:rPr>
          <w:rFonts w:ascii="Arial Unicode MS" w:hAnsi="Arial Unicode MS" w:eastAsia="PingFang SC Regular" w:hint="eastAsia"/>
          <w:rtl w:val="0"/>
        </w:rPr>
        <w:t>），</w:t>
      </w:r>
      <w:r>
        <w:rPr>
          <w:rtl w:val="0"/>
        </w:rPr>
        <w:t>P1</w:t>
      </w:r>
      <w:r>
        <w:rPr>
          <w:rFonts w:ascii="Arial Unicode MS" w:hAnsi="Arial Unicode MS" w:eastAsia="PingFang SC Regular" w:hint="eastAsia"/>
          <w:rtl w:val="0"/>
        </w:rPr>
        <w:t>（</w:t>
      </w:r>
      <w:r>
        <w:rPr>
          <w:rtl w:val="0"/>
          <w:lang w:val="en-US"/>
        </w:rPr>
        <w:t>Bridge</w:t>
      </w:r>
      <w:r>
        <w:rPr>
          <w:rFonts w:ascii="Arial Unicode MS" w:hAnsi="Arial Unicode MS" w:eastAsia="PingFang SC Regular" w:hint="eastAsia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必补模块（顶级项目必须有）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7.1 SaaS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上链（发行人后台）</w:t>
      </w:r>
      <w:r>
        <w:rPr>
          <w:rtl w:val="0"/>
          <w:lang w:val="en-US"/>
        </w:rPr>
        <w:t>—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 xml:space="preserve">和 </w:t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强绑定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文件 </w:t>
      </w:r>
      <w:r>
        <w:rPr>
          <w:rtl w:val="0"/>
        </w:rPr>
        <w:t xml:space="preserve">→ </w:t>
      </w:r>
      <w:r>
        <w:rPr>
          <w:rtl w:val="0"/>
          <w:lang w:val="en-US"/>
        </w:rPr>
        <w:t xml:space="preserve">AI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审核 </w:t>
      </w:r>
      <w:r>
        <w:rPr>
          <w:rtl w:val="0"/>
        </w:rPr>
        <w:t xml:space="preserve">→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节点签章 </w:t>
      </w:r>
      <w:r>
        <w:rPr>
          <w:rtl w:val="0"/>
        </w:rPr>
        <w:t xml:space="preserve">→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铸币 </w:t>
      </w:r>
      <w:r>
        <w:rPr>
          <w:rtl w:val="0"/>
        </w:rPr>
        <w:t xml:space="preserve">→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上架交易 </w:t>
      </w:r>
      <w:r>
        <w:rPr>
          <w:rtl w:val="0"/>
        </w:rPr>
        <w:t xml:space="preserve">→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分红日历。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  <w:lang w:val="en-US"/>
        </w:rPr>
        <w:t xml:space="preserve">Webhook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回调；错误显式；状态机可回放。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</w:rPr>
        <w:t xml:space="preserve">24h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上链 </w:t>
      </w:r>
      <w:r>
        <w:rPr>
          <w:rtl w:val="0"/>
        </w:rPr>
        <w:t>SLO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：从资料齐全到可交易 </w:t>
      </w:r>
      <w:r>
        <w:rPr>
          <w:rtl w:val="0"/>
        </w:rPr>
        <w:t xml:space="preserve">≤ </w:t>
      </w:r>
      <w:r>
        <w:rPr>
          <w:rtl w:val="0"/>
        </w:rPr>
        <w:t>24h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7.2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合规</w:t>
      </w:r>
      <w:r>
        <w:rPr>
          <w:rtl w:val="0"/>
          <w:lang w:val="en-US"/>
        </w:rPr>
        <w:t>/KYC/AML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身份、制裁名单、交易模式检测（</w:t>
      </w:r>
      <w:r>
        <w:rPr>
          <w:rtl w:val="0"/>
          <w:lang w:val="en-US"/>
        </w:rPr>
        <w:t>KYT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）；转账 </w:t>
      </w:r>
      <w:r>
        <w:rPr>
          <w:rtl w:val="0"/>
          <w:lang w:val="nl-NL"/>
        </w:rPr>
        <w:t xml:space="preserve">Hook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拦截。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监管接口：监管只读密钥，可导出交易与资产快照。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7.3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观测</w:t>
      </w:r>
      <w:r>
        <w:rPr>
          <w:rtl w:val="0"/>
        </w:rPr>
        <w:t>/SRE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四大看板：链（</w:t>
      </w:r>
      <w:r>
        <w:rPr>
          <w:rtl w:val="0"/>
        </w:rPr>
        <w:t>TPS/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延迟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出块漂移）</w:t>
      </w:r>
      <w:r>
        <w:rPr>
          <w:rtl w:val="0"/>
        </w:rPr>
        <w:t>/ DEX</w:t>
      </w:r>
      <w:r>
        <w:rPr>
          <w:rFonts w:ascii="Arial Unicode MS" w:hAnsi="Arial Unicode MS" w:eastAsia="PingFang SC Regular" w:hint="eastAsia"/>
          <w:rtl w:val="0"/>
        </w:rPr>
        <w:t>（深度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点差）</w:t>
      </w:r>
      <w:r>
        <w:rPr>
          <w:rtl w:val="0"/>
        </w:rPr>
        <w:t xml:space="preserve">/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预言机（喂价偏差）</w:t>
      </w:r>
      <w:r>
        <w:rPr>
          <w:rtl w:val="0"/>
        </w:rPr>
        <w:t xml:space="preserve">/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桥（队列与失败率）。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灰度开关、特性旗标（</w:t>
      </w:r>
      <w:r>
        <w:rPr>
          <w:rtl w:val="0"/>
          <w:lang w:val="en-US"/>
        </w:rPr>
        <w:t>Feature Flags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）、一键回滚。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压测基线：合约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撮合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索引各自独立压测套件。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8)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环环相扣的数据与接口规范（对外承诺）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公共接口：</w:t>
      </w:r>
      <w:r>
        <w:rPr>
          <w:rtl w:val="0"/>
          <w:lang w:val="en-US"/>
        </w:rPr>
        <w:t>RPC/WS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GraphQL Index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en-US"/>
        </w:rPr>
        <w:t>Explorer REST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企业接口：</w:t>
      </w:r>
      <w:r>
        <w:rPr>
          <w:rtl w:val="0"/>
        </w:rPr>
        <w:t xml:space="preserve">SaaS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上链 </w:t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、分红对帐 </w:t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、合规审计 </w:t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、监控与告警 </w:t>
      </w:r>
      <w:r>
        <w:rPr>
          <w:rtl w:val="0"/>
          <w:lang w:val="en-US"/>
        </w:rPr>
        <w:t>Webhook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事件总线：</w:t>
      </w:r>
      <w:r>
        <w:rPr>
          <w:rtl w:val="0"/>
          <w:lang w:val="en-US"/>
        </w:rPr>
        <w:t xml:space="preserve">Kafka topic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标准（</w:t>
      </w:r>
      <w:r>
        <w:rPr>
          <w:rtl w:val="0"/>
          <w:lang w:val="en-US"/>
        </w:rPr>
        <w:t>tx.new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dividend.settled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en-US"/>
        </w:rPr>
        <w:t>oracle.update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en-US"/>
        </w:rPr>
        <w:t>bridge.finalized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tl w:val="0"/>
          <w:lang w:val="de-DE"/>
        </w:rPr>
        <w:t xml:space="preserve">Schema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版本化：</w:t>
      </w:r>
      <w:r>
        <w:rPr>
          <w:rtl w:val="0"/>
          <w:lang w:val="it-IT"/>
        </w:rPr>
        <w:t>AssetMeta v1</w:t>
      </w:r>
      <w:r>
        <w:rPr>
          <w:rtl w:val="0"/>
        </w:rPr>
        <w:t>→</w:t>
      </w:r>
      <w:r>
        <w:rPr>
          <w:rtl w:val="0"/>
          <w:lang w:val="da-DK"/>
        </w:rPr>
        <w:t xml:space="preserve">v2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兼容策略；</w:t>
      </w:r>
      <w:r>
        <w:rPr>
          <w:rtl w:val="0"/>
          <w:lang w:val="it-IT"/>
        </w:rPr>
        <w:t xml:space="preserve">Deprecation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日历。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9)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安全与合规底线（不可妥协项）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合约双审计 </w:t>
      </w:r>
      <w:r>
        <w:rPr>
          <w:rtl w:val="0"/>
        </w:rPr>
        <w:t xml:space="preserve">+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关键模块形式化（桥、预言机、受限转让）。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秘钥：</w:t>
      </w:r>
      <w:r>
        <w:rPr>
          <w:rtl w:val="0"/>
          <w:lang w:val="pt-PT"/>
        </w:rPr>
        <w:t>HSM/MPC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，离线备份分层密封；提币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桥转多岗审批。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数据：</w:t>
      </w:r>
      <w:r>
        <w:rPr>
          <w:rtl w:val="0"/>
          <w:lang w:val="en-US"/>
        </w:rPr>
        <w:t xml:space="preserve">PII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加密、最小化收集；合规地域强约束（合约层校验）。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事件响应：</w:t>
      </w:r>
      <w:r>
        <w:rPr>
          <w:rtl w:val="0"/>
          <w:lang w:val="ru-RU"/>
        </w:rPr>
        <w:t xml:space="preserve">P1 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 xml:space="preserve">事件 </w:t>
      </w:r>
      <w:r>
        <w:rPr>
          <w:rtl w:val="0"/>
        </w:rPr>
        <w:t xml:space="preserve">15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分钟内公告；</w:t>
      </w:r>
      <w:r>
        <w:rPr>
          <w:rtl w:val="0"/>
        </w:rPr>
        <w:t xml:space="preserve">72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小时根因报告（</w:t>
      </w:r>
      <w:r>
        <w:rPr>
          <w:rtl w:val="0"/>
        </w:rPr>
        <w:t>RCA</w:t>
      </w:r>
      <w:r>
        <w:rPr>
          <w:rFonts w:ascii="Arial Unicode MS" w:hAnsi="Arial Unicode MS" w:eastAsia="PingFang SC Regular" w:hint="eastAsia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ab/>
        <w:t>•</w:t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保险与储备：</w:t>
      </w:r>
      <w:r>
        <w:rPr>
          <w:rtl w:val="0"/>
          <w:lang w:val="en-US"/>
        </w:rPr>
        <w:t xml:space="preserve">RWA </w:t>
      </w:r>
      <w:r>
        <w:rPr>
          <w:rFonts w:ascii="Arial Unicode MS" w:hAnsi="Arial Unicode MS" w:eastAsia="PingFang SC Regular" w:hint="eastAsia"/>
          <w:rtl w:val="0"/>
        </w:rPr>
        <w:t>安全基金（</w:t>
      </w:r>
      <w:r>
        <w:rPr>
          <w:rtl w:val="0"/>
        </w:rPr>
        <w:t xml:space="preserve">≥ </w:t>
      </w:r>
      <w:r>
        <w:rPr>
          <w:rtl w:val="0"/>
        </w:rPr>
        <w:t xml:space="preserve">5%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手续费沉淀），桥黑天鹅保险池。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TL;DR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（一句话）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用</w:t>
      </w:r>
      <w:r>
        <w:rPr>
          <w:rtl w:val="1"/>
          <w:lang w:val="ar-SA" w:bidi="ar-SA"/>
        </w:rPr>
        <w:t>“</w:t>
      </w:r>
      <w:r>
        <w:rPr>
          <w:rtl w:val="0"/>
          <w:lang w:val="pt-PT"/>
        </w:rPr>
        <w:t xml:space="preserve">EVM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兼容 </w:t>
      </w:r>
      <w:r>
        <w:rPr>
          <w:rtl w:val="0"/>
        </w:rPr>
        <w:t xml:space="preserve">+ RWA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合规模块 </w:t>
      </w:r>
      <w:r>
        <w:rPr>
          <w:rtl w:val="0"/>
          <w:lang w:val="en-US"/>
        </w:rPr>
        <w:t xml:space="preserve">+ DEX/Oracle/Bridge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三位一体 </w:t>
      </w:r>
      <w:r>
        <w:rPr>
          <w:rtl w:val="0"/>
        </w:rPr>
        <w:t xml:space="preserve">+ SaaS 24h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上链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做成面向真实资产的金融级公链；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一切围绕：可信、可审计、可扩展、可监管 四个</w:t>
      </w:r>
      <w:r>
        <w:rPr>
          <w:rtl w:val="1"/>
          <w:lang w:val="ar-SA" w:bidi="ar-SA"/>
        </w:rPr>
        <w:t>“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可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</w:rPr>
        <w:t>。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