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Usdable SaaS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平台角色业务线路（结构版</w:t>
      </w:r>
      <w:r>
        <w:rPr>
          <w:rtl w:val="0"/>
          <w:lang w:val="de-DE"/>
        </w:rPr>
        <w:t>·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文字图）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>【</w:t>
      </w:r>
      <w:r>
        <w:rPr>
          <w:rtl w:val="0"/>
        </w:rPr>
        <w:t>1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】资产方（</w:t>
      </w:r>
      <w:r>
        <w:rPr>
          <w:rtl w:val="0"/>
          <w:lang w:val="en-US"/>
        </w:rPr>
        <w:t>Asset Owner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上传资产文件  </w:t>
      </w:r>
      <w:r>
        <w:rPr>
          <w:rtl w:val="0"/>
        </w:rPr>
        <w:t xml:space="preserve">→ 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生成资产档案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审核系统初审（</w:t>
      </w:r>
      <w:r>
        <w:rPr>
          <w:rtl w:val="0"/>
          <w:lang w:val="es-ES_tradnl"/>
        </w:rPr>
        <w:t>OCR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、合规检测）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提交「上链申请」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进入服务方与节点流程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>【</w:t>
      </w:r>
      <w:r>
        <w:rPr>
          <w:rtl w:val="0"/>
        </w:rPr>
        <w:t>2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】服务方（</w:t>
      </w:r>
      <w:r>
        <w:rPr>
          <w:rtl w:val="0"/>
          <w:lang w:val="en-US"/>
        </w:rPr>
        <w:t>Service Provider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接收资产档案任务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核对文件真实性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ja-JP" w:eastAsia="ja-JP"/>
        </w:rPr>
        <w:t>生成</w:t>
      </w:r>
      <w:r>
        <w:rPr>
          <w:rtl w:val="0"/>
        </w:rPr>
        <w:t>/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应用合规模板（合同、信托、分红协议）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完成电子签章与法律确权报告（自动上链哈希）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回传至系统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提交节点审批请求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>【</w:t>
      </w:r>
      <w:r>
        <w:rPr>
          <w:rtl w:val="0"/>
        </w:rPr>
        <w:t>3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】节点运营商（</w:t>
      </w:r>
      <w:r>
        <w:rPr>
          <w:rtl w:val="0"/>
          <w:lang w:val="it-IT"/>
        </w:rPr>
        <w:t>Node Operator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接收服务方确权报告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核查合规性、估值与签章完整性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（如有异常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退回资产方补充或服务方复审）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如合规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审批上链请求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链上写入资产哈希与状态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铸造 </w:t>
      </w:r>
      <w:r>
        <w:rPr>
          <w:rtl w:val="0"/>
          <w:lang w:val="nl-NL"/>
        </w:rPr>
        <w:t>HRWA Token</w:t>
      </w:r>
      <w:r>
        <w:rPr>
          <w:rFonts w:ascii="Arial Unicode MS" w:hAnsi="Arial Unicode MS" w:eastAsia="PingFang SC Regular" w:hint="eastAsia"/>
          <w:rtl w:val="0"/>
        </w:rPr>
        <w:t>（</w:t>
      </w:r>
      <w:r>
        <w:rPr>
          <w:rtl w:val="0"/>
          <w:lang w:val="ru-RU"/>
        </w:rPr>
        <w:t xml:space="preserve">1:1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对应资产价值）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>【</w:t>
      </w:r>
      <w:r>
        <w:rPr>
          <w:rtl w:val="0"/>
        </w:rPr>
        <w:t>4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】平台管理员（</w:t>
      </w:r>
      <w:r>
        <w:rPr>
          <w:rtl w:val="0"/>
          <w:lang w:val="pt-PT"/>
        </w:rPr>
        <w:t>Admin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全程监控工作流状态（任务队列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审核速度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异常日志）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维护模板库、节点分润参数、任务分配逻辑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定期审计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导出监管报告（资产规模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审核周期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节点收益）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>【</w:t>
      </w:r>
      <w:r>
        <w:rPr>
          <w:rtl w:val="0"/>
        </w:rPr>
        <w:t>5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】投资方（</w:t>
      </w:r>
      <w:r>
        <w:rPr>
          <w:rtl w:val="0"/>
        </w:rPr>
        <w:t>Investor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查看「已上链资产」列表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获取项目信息（位置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租金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风险评级）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通过 </w:t>
      </w:r>
      <w:r>
        <w:rPr>
          <w:rtl w:val="0"/>
          <w:lang w:val="da-DK"/>
        </w:rPr>
        <w:t xml:space="preserve">DEX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或 </w:t>
      </w:r>
      <w:r>
        <w:rPr>
          <w:rtl w:val="0"/>
          <w:lang w:val="en-US"/>
        </w:rPr>
        <w:t xml:space="preserve">Launchpad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认购 </w:t>
      </w:r>
      <w:r>
        <w:rPr>
          <w:rtl w:val="0"/>
          <w:lang w:val="nl-NL"/>
        </w:rPr>
        <w:t>HRWA Token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持有期内：系统定期推送分红（链上自动执行）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退出时：二级市场卖出或资产回购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【系统自动化与数据流】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资产方上传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审核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服务方确权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节点上链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Admin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监控  </w:t>
      </w:r>
    </w:p>
    <w:p>
      <w:pPr>
        <w:pStyle w:val="正文"/>
        <w:bidi w:val="0"/>
      </w:pPr>
      <w:r>
        <w:rPr>
          <w:rtl w:val="0"/>
        </w:rPr>
        <w:t xml:space="preserve">                              ↓  </w:t>
      </w:r>
    </w:p>
    <w:p>
      <w:pPr>
        <w:pStyle w:val="正文"/>
        <w:bidi w:val="0"/>
      </w:pPr>
      <w:r>
        <w:rPr>
          <w:rtl w:val="0"/>
        </w:rPr>
        <w:t xml:space="preserve">                        Token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生成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分红计划  </w:t>
      </w:r>
    </w:p>
    <w:p>
      <w:pPr>
        <w:pStyle w:val="正文"/>
        <w:bidi w:val="0"/>
      </w:pPr>
      <w:r>
        <w:rPr>
          <w:rtl w:val="0"/>
        </w:rPr>
        <w:t xml:space="preserve">                              ↓  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</w:rPr>
        <w:t xml:space="preserve">                        投资方认购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</w:rPr>
        <w:t xml:space="preserve">收益分配  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【跨角色联动节点】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资产方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服务方代资产方生成法律文件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上传文件错误时，服务方退回修改  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节点运营商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服务方完成签章后自动触发节点合规审批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节点反馈通过</w:t>
      </w:r>
      <w:r>
        <w:rPr>
          <w:rtl w:val="0"/>
        </w:rPr>
        <w:t>/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驳回结果  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节点运营商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平台管理员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节点数据实时同步，</w:t>
      </w:r>
      <w:r>
        <w:rPr>
          <w:rtl w:val="0"/>
          <w:lang w:val="pt-PT"/>
        </w:rPr>
        <w:t xml:space="preserve">Admin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监管节点绩效与收益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节点异常（超时</w:t>
      </w:r>
      <w:r>
        <w:rPr>
          <w:rtl w:val="0"/>
        </w:rPr>
        <w:t>/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违规）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Admin </w:t>
      </w:r>
      <w:r>
        <w:rPr>
          <w:rFonts w:ascii="Arial Unicode MS" w:hAnsi="Arial Unicode MS" w:eastAsia="PingFang SC Regular" w:hint="eastAsia"/>
          <w:rtl w:val="0"/>
        </w:rPr>
        <w:t xml:space="preserve">介入  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平台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投资方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投资方仅能浏览已确权、已上链资产  </w:t>
      </w:r>
    </w:p>
    <w:p>
      <w:pPr>
        <w:pStyle w:val="正文"/>
        <w:bidi w:val="0"/>
      </w:pPr>
      <w:r>
        <w:rPr>
          <w:rtl w:val="0"/>
        </w:rPr>
        <w:t xml:space="preserve">    ·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收益分红、资产状态更新实时链上显示  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【整体业务闭环】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资产方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上传资产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法律确权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审批上链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铸币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平台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监控与分润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投资方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购买代币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收益分红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 精英视角分析（价值与流转逻辑）</w:t>
      </w:r>
    </w:p>
    <w:p>
      <w:pPr>
        <w:pStyle w:val="正文"/>
        <w:bidi w:val="0"/>
      </w:pPr>
    </w:p>
    <w:tbl>
      <w:tblPr>
        <w:tblW w:w="10000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阶段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参与方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关键资产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技术支撑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上链前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资产方 </w:t>
            </w:r>
            <w:r>
              <w:rPr>
                <w:rFonts w:ascii="PingFang SC Regular" w:hAnsi="PingFang SC Regular"/>
                <w:rtl w:val="0"/>
              </w:rPr>
              <w:t xml:space="preserve">+ </w:t>
            </w:r>
            <w:r>
              <w:rPr>
                <w:rFonts w:eastAsia="PingFang SC Regular" w:hint="eastAsia"/>
                <w:rtl w:val="0"/>
              </w:rPr>
              <w:t>服务方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法律文件、估值报告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/>
                <w:rtl w:val="0"/>
              </w:rPr>
              <w:t xml:space="preserve">AI </w:t>
            </w:r>
            <w:r>
              <w:rPr>
                <w:rFonts w:eastAsia="PingFang SC Regular" w:hint="eastAsia"/>
                <w:rtl w:val="0"/>
              </w:rPr>
              <w:t>审核、模板系统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上链中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节点运营商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资产哈希、审批签名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多签验证、合规引擎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上链后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平台 </w:t>
            </w:r>
            <w:r>
              <w:rPr>
                <w:rFonts w:ascii="PingFang SC Regular" w:hAnsi="PingFang SC Regular"/>
                <w:rtl w:val="0"/>
              </w:rPr>
              <w:t xml:space="preserve">+ </w:t>
            </w:r>
            <w:r>
              <w:rPr>
                <w:rFonts w:eastAsia="PingFang SC Regular" w:hint="eastAsia"/>
                <w:rtl w:val="0"/>
              </w:rPr>
              <w:t>投资方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/>
                <w:rtl w:val="0"/>
              </w:rPr>
              <w:t>HRWA Token</w:t>
            </w:r>
            <w:r>
              <w:rPr>
                <w:rFonts w:eastAsia="PingFang SC Regular" w:hint="eastAsia"/>
                <w:rtl w:val="0"/>
              </w:rPr>
              <w:t>、分红记录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智能合约、</w:t>
            </w:r>
            <w:r>
              <w:rPr>
                <w:rFonts w:ascii="PingFang SC Regular" w:hAnsi="PingFang SC Regular"/>
                <w:rtl w:val="0"/>
              </w:rPr>
              <w:t>DEX</w:t>
            </w:r>
            <w:r>
              <w:rPr>
                <w:rFonts w:eastAsia="PingFang SC Regular" w:hint="eastAsia"/>
                <w:rtl w:val="0"/>
              </w:rPr>
              <w:t>、分红池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持续阶段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平台 </w:t>
            </w:r>
            <w:r>
              <w:rPr>
                <w:rFonts w:ascii="PingFang SC Regular" w:hAnsi="PingFang SC Regular"/>
                <w:rtl w:val="0"/>
              </w:rPr>
              <w:t xml:space="preserve">+ </w:t>
            </w:r>
            <w:r>
              <w:rPr>
                <w:rFonts w:eastAsia="PingFang SC Regular" w:hint="eastAsia"/>
                <w:rtl w:val="0"/>
              </w:rPr>
              <w:t>节点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审计、合规追踪、分润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/>
                <w:rtl w:val="0"/>
              </w:rPr>
              <w:t>Oracle</w:t>
            </w:r>
            <w:r>
              <w:rPr>
                <w:rFonts w:eastAsia="PingFang SC Regular" w:hint="eastAsia"/>
                <w:rtl w:val="0"/>
              </w:rPr>
              <w:t>、链上统计</w:t>
            </w:r>
          </w:p>
        </w:tc>
      </w:tr>
    </w:tbl>
    <w:p>
      <w:pPr>
        <w:pStyle w:val="自由格式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jc w:val="center"/>
        <w:rPr>
          <w:rFonts w:ascii="PingFang SC Regular" w:cs="PingFang SC Regular" w:hAnsi="PingFang SC Regular" w:eastAsia="PingFang SC Regular"/>
          <w:sz w:val="22"/>
          <w:szCs w:val="22"/>
        </w:rPr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🧭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Usdable SaaS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平台业务全流程（横向文字图）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资产方 </w:t>
      </w:r>
      <w:r>
        <w:rPr>
          <w:rtl w:val="0"/>
          <w:lang w:val="en-US"/>
        </w:rPr>
        <w:t>(Asset Owner)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①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上传资产资料（产权证明、合同、估值文件）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②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系统自动检测资料完整性（</w:t>
      </w:r>
      <w:r>
        <w:rPr>
          <w:rtl w:val="0"/>
          <w:lang w:val="de-DE"/>
        </w:rPr>
        <w:t xml:space="preserve">AI OCR 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合规初审）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③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发起上链申请（选择国家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服务方）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                    ↓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文件与数据流（系统中转） </w:t>
      </w:r>
      <w:r>
        <w:rPr>
          <w:rtl w:val="0"/>
        </w:rPr>
        <w:t>↓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 </w:t>
      </w:r>
      <w:r>
        <w:rPr>
          <w:rtl w:val="0"/>
          <w:lang w:val="en-US"/>
        </w:rPr>
        <w:t>(Service Provider)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④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接收任务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核对文件真伪、评估资料合法性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⑤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生成法律模板（</w:t>
      </w:r>
      <w:r>
        <w:rPr>
          <w:rtl w:val="0"/>
        </w:rPr>
        <w:t xml:space="preserve">SPV / GK / TK 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信托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分红协议）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⑥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电子签章确权（与资产方共同签署）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⑦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出具「法律确权报告」并上链存证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⑧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提交节点审批申请（进入链上审核队列）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                    ↓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审批流转与上链操作 </w:t>
      </w:r>
      <w:r>
        <w:rPr>
          <w:rtl w:val="0"/>
        </w:rPr>
        <w:t>↓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节点运营商 </w:t>
      </w:r>
      <w:r>
        <w:rPr>
          <w:rtl w:val="0"/>
          <w:lang w:val="it-IT"/>
        </w:rPr>
        <w:t>(Node Operator)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⑨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接收上链申请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核查确权报告、估值结果与签章完整性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⑩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审批资产上链（通过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驳回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要求补充）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⑪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铸造资产代币（</w:t>
      </w:r>
      <w:r>
        <w:rPr>
          <w:rtl w:val="0"/>
          <w:lang w:val="nl-NL"/>
        </w:rPr>
        <w:t>HRWA Token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⑫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生成上链哈希并回传系统（资产状态：已确权）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                    ↓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系统同步与监控 </w:t>
      </w:r>
      <w:r>
        <w:rPr>
          <w:rtl w:val="0"/>
        </w:rPr>
        <w:t>↓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平台管理员 </w:t>
      </w:r>
      <w:r>
        <w:rPr>
          <w:rtl w:val="0"/>
          <w:lang w:val="pt-PT"/>
        </w:rPr>
        <w:t>(Admin)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⑬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实时监控节点与服务方工作流（效率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风险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合规）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⑭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自动生成审计日志与监管报告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⑮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管理收益分润模型（节点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服务方 </w:t>
      </w:r>
      <w:r>
        <w:rPr>
          <w:rtl w:val="0"/>
        </w:rPr>
        <w:t xml:space="preserve">+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平台分成）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⑯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向前端交易所模块同步上链资产信息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                    ↓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数据开放与投资流入 </w:t>
      </w:r>
      <w:r>
        <w:rPr>
          <w:rtl w:val="0"/>
        </w:rPr>
        <w:t>↓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投资方 </w:t>
      </w:r>
      <w:r>
        <w:rPr>
          <w:rtl w:val="0"/>
        </w:rPr>
        <w:t>(Investor)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⑰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浏览资产详情页（估值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位置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风险评级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分红历史）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⑱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通过 </w:t>
      </w:r>
      <w:r>
        <w:rPr>
          <w:rtl w:val="0"/>
          <w:lang w:val="en-US"/>
        </w:rPr>
        <w:t xml:space="preserve">DEX / Launchpad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认购代币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⑲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智能合约定期执行分红（租金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收益 </w:t>
      </w:r>
      <w:r>
        <w:rPr>
          <w:rtl w:val="0"/>
        </w:rPr>
        <w:t xml:space="preserve">/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抵押利息）</w:t>
      </w:r>
    </w:p>
    <w:p>
      <w:pPr>
        <w:pStyle w:val="正文"/>
        <w:bidi w:val="0"/>
      </w:pPr>
      <w:r>
        <w:rPr>
          <w:rtl w:val="0"/>
        </w:rPr>
        <w:t xml:space="preserve">    ↓</w:t>
      </w:r>
    </w:p>
    <w:p>
      <w:pPr>
        <w:pStyle w:val="正文"/>
        <w:bidi w:val="0"/>
      </w:pPr>
      <w:r>
        <w:rPr>
          <w:rtl w:val="0"/>
        </w:rPr>
        <w:t xml:space="preserve">⑳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可随时在二级市场出售 </w:t>
      </w:r>
      <w:r>
        <w:rPr>
          <w:rtl w:val="0"/>
          <w:lang w:val="nl-NL"/>
        </w:rPr>
        <w:t xml:space="preserve">HRWA Token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或回购退出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tl w:val="0"/>
        </w:rPr>
        <w:t xml:space="preserve">                    ↓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系统闭环 </w:t>
      </w:r>
      <w:r>
        <w:rPr>
          <w:rtl w:val="0"/>
          <w:lang w:val="en-US"/>
        </w:rPr>
        <w:t>(System Loop)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 数据同步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审计追踪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分红执行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新资产上链  </w:t>
      </w: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形成「资产数字化</w:t>
      </w:r>
      <w:r>
        <w:rPr>
          <w:rtl w:val="0"/>
          <w:lang w:val="en-US"/>
        </w:rPr>
        <w:t>—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合规确权</w:t>
      </w:r>
      <w:r>
        <w:rPr>
          <w:rtl w:val="0"/>
          <w:lang w:val="en-US"/>
        </w:rPr>
        <w:t>—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链上流通</w:t>
      </w:r>
      <w:r>
        <w:rPr>
          <w:rtl w:val="0"/>
          <w:lang w:val="en-US"/>
        </w:rPr>
        <w:t>—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投资分红</w:t>
      </w:r>
      <w:r>
        <w:rPr>
          <w:rtl w:val="0"/>
          <w:lang w:val="en-US"/>
        </w:rPr>
        <w:t>—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再上链」的螺旋循环</w:t>
      </w:r>
    </w:p>
    <w:p>
      <w:pPr>
        <w:pStyle w:val="正文"/>
        <w:bidi w:val="0"/>
      </w:pP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🔍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 各角色核心交互节点总结</w:t>
      </w:r>
    </w:p>
    <w:p>
      <w:pPr>
        <w:pStyle w:val="正文"/>
        <w:bidi w:val="0"/>
      </w:pPr>
    </w:p>
    <w:tbl>
      <w:tblPr>
        <w:tblW w:w="10000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序号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交互主体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交互内容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Semibold" w:hint="eastAsia"/>
                <w:rtl w:val="0"/>
              </w:rPr>
              <w:t>数据流向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①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资产方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系统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上传文件、创建资产档案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链下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链上 哈希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②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系统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服务方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任务分配、文件审核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/>
                <w:rtl w:val="0"/>
              </w:rPr>
              <w:t xml:space="preserve">API </w:t>
            </w:r>
            <w:r>
              <w:rPr>
                <w:rFonts w:eastAsia="PingFang SC Regular" w:hint="eastAsia"/>
                <w:rtl w:val="0"/>
              </w:rPr>
              <w:t>调度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③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  <w:lang w:val="zh-CN" w:eastAsia="zh-CN"/>
              </w:rPr>
              <w:t xml:space="preserve">服务方 </w:t>
            </w:r>
            <w:r>
              <w:rPr>
                <w:rFonts w:ascii="ヒラギノ角ゴシック W3" w:hAnsi="ヒラギノ角ゴシック W3" w:hint="default"/>
                <w:rtl w:val="0"/>
              </w:rPr>
              <w:t>↔</w:t>
            </w:r>
            <w:r>
              <w:rPr>
                <w:rFonts w:eastAsia="PingFang SC Regular" w:hint="eastAsia"/>
                <w:rtl w:val="0"/>
                <w:lang w:val="zh-CN" w:eastAsia="zh-CN"/>
              </w:rPr>
              <w:t xml:space="preserve"> 资产方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模板签章、确权文件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双向协作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④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服务方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节点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提交上链申请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审批流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⑤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节点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系统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审批结果、区块哈希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链上记录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⑥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系统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ascii="PingFang SC Regular" w:hAnsi="PingFang SC Regular"/>
                <w:rtl w:val="0"/>
              </w:rPr>
              <w:t>Admin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审计、绩效数据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后台数据流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⑦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/>
                <w:rtl w:val="0"/>
              </w:rPr>
              <w:t xml:space="preserve">Admin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ascii="PingFang SC Regular" w:hAnsi="PingFang SC Regular"/>
                <w:rtl w:val="0"/>
              </w:rPr>
              <w:t>DEX / Launchpad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上架资产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市场公开接口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PingFang SC Regular" w:hAnsi="PingFang SC Regular" w:hint="default"/>
                <w:rtl w:val="0"/>
              </w:rPr>
              <w:t>⑧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 xml:space="preserve">投资方 </w:t>
            </w:r>
            <w:r>
              <w:rPr>
                <w:rFonts w:ascii="PingFang SC Regular" w:hAnsi="PingFang SC Regular" w:hint="default"/>
                <w:rtl w:val="0"/>
              </w:rPr>
              <w:t xml:space="preserve">→ </w:t>
            </w:r>
            <w:r>
              <w:rPr>
                <w:rFonts w:eastAsia="PingFang SC Regular" w:hint="eastAsia"/>
                <w:rtl w:val="0"/>
              </w:rPr>
              <w:t>合约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认购交易、持仓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pStyle w:val="正文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eastAsia="PingFang SC Regular" w:hint="eastAsia"/>
                <w:rtl w:val="0"/>
              </w:rPr>
              <w:t>智能合约执行</w:t>
            </w:r>
          </w:p>
        </w:tc>
      </w:tr>
    </w:tbl>
    <w:p>
      <w:pPr>
        <w:pStyle w:val="自由格式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jc w:val="center"/>
        <w:rPr>
          <w:rFonts w:ascii="PingFang SC Regular" w:cs="PingFang SC Regular" w:hAnsi="PingFang SC Regular" w:eastAsia="PingFang SC Regular"/>
          <w:sz w:val="22"/>
          <w:szCs w:val="22"/>
        </w:rPr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💠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 系统设计思维（精英视角）</w:t>
      </w:r>
    </w:p>
    <w:p>
      <w:pPr>
        <w:pStyle w:val="正文"/>
        <w:bidi w:val="0"/>
      </w:pPr>
      <w:r>
        <w:rPr>
          <w:rtl w:val="0"/>
        </w:rPr>
        <w:tab/>
        <w:t>•</w:t>
        <w:tab/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资产方 是入口（数据与合规起点）</w:t>
      </w:r>
    </w:p>
    <w:p>
      <w:pPr>
        <w:pStyle w:val="正文"/>
        <w:bidi w:val="0"/>
      </w:pPr>
      <w:r>
        <w:rPr>
          <w:rtl w:val="0"/>
        </w:rPr>
        <w:tab/>
        <w:t>•</w:t>
        <w:tab/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服务方 是中枢（确权与文件合法性保障）</w:t>
      </w:r>
    </w:p>
    <w:p>
      <w:pPr>
        <w:pStyle w:val="正文"/>
        <w:bidi w:val="0"/>
      </w:pPr>
      <w:r>
        <w:rPr>
          <w:rtl w:val="0"/>
        </w:rPr>
        <w:tab/>
        <w:t>•</w:t>
        <w:tab/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节点运营商 是信任背书（链上合规确立）</w:t>
      </w:r>
    </w:p>
    <w:p>
      <w:pPr>
        <w:pStyle w:val="正文"/>
        <w:bidi w:val="0"/>
      </w:pPr>
      <w:r>
        <w:rPr>
          <w:rtl w:val="0"/>
        </w:rPr>
        <w:tab/>
        <w:t>•</w:t>
        <w:tab/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平台管理员 是系统治理者（稳定与监管）</w:t>
      </w:r>
    </w:p>
    <w:p>
      <w:pPr>
        <w:pStyle w:val="正文"/>
        <w:bidi w:val="0"/>
      </w:pPr>
      <w:r>
        <w:rPr>
          <w:rtl w:val="0"/>
        </w:rPr>
        <w:tab/>
        <w:t>•</w:t>
        <w:tab/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投资方 是资金终端（市场流动与价值闭环）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系统结构呈现：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「资产源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服务验证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节点上链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平台监管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投资流入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 xml:space="preserve">分红回流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新资产再上链」</w:t>
      </w:r>
    </w:p>
    <w:p>
      <w:pPr>
        <w:pStyle w:val="正文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  <w:font w:name="PingFang SC Semibold">
    <w:charset w:val="00"/>
    <w:family w:val="roman"/>
    <w:pitch w:val="default"/>
  </w:font>
  <w:font w:name="ヒラギノ角ゴシック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自由格式">
    <w:name w:val="自由格式"/>
    <w:next w:val="自由格式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自由格式.0">
    <w:name w:val="自由格式"/>
    <w:next w:val="自由格式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