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8311E" w14:textId="77777777" w:rsidR="00D272CF" w:rsidRDefault="00D272CF" w:rsidP="00D272CF"/>
    <w:p w14:paraId="3F4101B3" w14:textId="77777777" w:rsidR="00D272CF" w:rsidRDefault="00D272CF" w:rsidP="00D272CF">
      <w:pPr>
        <w:pStyle w:val="NormalWeb"/>
        <w:spacing w:before="0" w:beforeAutospacing="0" w:after="0" w:afterAutospacing="0"/>
        <w:rPr>
          <w:color w:val="000000"/>
        </w:rPr>
      </w:pPr>
    </w:p>
    <w:tbl>
      <w:tblPr>
        <w:tblW w:w="0" w:type="auto"/>
        <w:tblCellMar>
          <w:left w:w="0" w:type="dxa"/>
          <w:right w:w="0" w:type="dxa"/>
        </w:tblCellMar>
        <w:tblLook w:val="04A0" w:firstRow="1" w:lastRow="0" w:firstColumn="1" w:lastColumn="0" w:noHBand="0" w:noVBand="1"/>
        <w:tblCaption w:val=""/>
        <w:tblDescription w:val=""/>
      </w:tblPr>
      <w:tblGrid>
        <w:gridCol w:w="3385"/>
        <w:gridCol w:w="1690"/>
        <w:gridCol w:w="4265"/>
      </w:tblGrid>
      <w:tr w:rsidR="00D272CF" w14:paraId="549E8083" w14:textId="77777777" w:rsidTr="00D272CF">
        <w:tc>
          <w:tcPr>
            <w:tcW w:w="3385" w:type="dxa"/>
            <w:tcBorders>
              <w:top w:val="single" w:sz="8" w:space="0" w:color="A3A3A3"/>
              <w:left w:val="single" w:sz="8" w:space="0" w:color="A3A3A3"/>
              <w:bottom w:val="single" w:sz="8" w:space="0" w:color="auto"/>
              <w:right w:val="single" w:sz="8" w:space="0" w:color="A3A3A3"/>
            </w:tcBorders>
            <w:tcMar>
              <w:top w:w="40" w:type="dxa"/>
              <w:left w:w="60" w:type="dxa"/>
              <w:bottom w:w="40" w:type="dxa"/>
              <w:right w:w="60" w:type="dxa"/>
            </w:tcMar>
            <w:hideMark/>
          </w:tcPr>
          <w:p w14:paraId="3BEAF38A" w14:textId="77777777" w:rsidR="00D272CF" w:rsidRDefault="00D272CF">
            <w:pPr>
              <w:pStyle w:val="NormalWeb"/>
              <w:spacing w:before="0" w:beforeAutospacing="0" w:after="0" w:afterAutospacing="0" w:line="252" w:lineRule="auto"/>
              <w:rPr>
                <w:b/>
                <w:bCs/>
                <w:color w:val="000000"/>
              </w:rPr>
            </w:pPr>
            <w:r>
              <w:rPr>
                <w:b/>
                <w:bCs/>
                <w:color w:val="000000"/>
              </w:rPr>
              <w:t xml:space="preserve">Instrument File Field Location </w:t>
            </w:r>
          </w:p>
        </w:tc>
        <w:tc>
          <w:tcPr>
            <w:tcW w:w="1690" w:type="dxa"/>
            <w:tcBorders>
              <w:top w:val="single" w:sz="8" w:space="0" w:color="A3A3A3"/>
              <w:left w:val="nil"/>
              <w:bottom w:val="single" w:sz="8" w:space="0" w:color="auto"/>
              <w:right w:val="single" w:sz="8" w:space="0" w:color="A3A3A3"/>
            </w:tcBorders>
            <w:tcMar>
              <w:top w:w="40" w:type="dxa"/>
              <w:left w:w="60" w:type="dxa"/>
              <w:bottom w:w="40" w:type="dxa"/>
              <w:right w:w="60" w:type="dxa"/>
            </w:tcMar>
            <w:hideMark/>
          </w:tcPr>
          <w:p w14:paraId="3F8DC1DC" w14:textId="77777777" w:rsidR="00D272CF" w:rsidRDefault="00D272CF">
            <w:pPr>
              <w:pStyle w:val="NormalWeb"/>
              <w:spacing w:before="0" w:beforeAutospacing="0" w:after="0" w:afterAutospacing="0" w:line="252" w:lineRule="auto"/>
              <w:rPr>
                <w:b/>
                <w:bCs/>
                <w:color w:val="000000"/>
              </w:rPr>
            </w:pPr>
            <w:r>
              <w:rPr>
                <w:b/>
                <w:bCs/>
                <w:color w:val="000000"/>
              </w:rPr>
              <w:t>Universal Template File Field Location</w:t>
            </w:r>
          </w:p>
        </w:tc>
        <w:tc>
          <w:tcPr>
            <w:tcW w:w="4265" w:type="dxa"/>
            <w:tcBorders>
              <w:top w:val="single" w:sz="8" w:space="0" w:color="A3A3A3"/>
              <w:left w:val="nil"/>
              <w:bottom w:val="single" w:sz="8" w:space="0" w:color="auto"/>
              <w:right w:val="single" w:sz="8" w:space="0" w:color="A3A3A3"/>
            </w:tcBorders>
            <w:tcMar>
              <w:top w:w="40" w:type="dxa"/>
              <w:left w:w="60" w:type="dxa"/>
              <w:bottom w:w="40" w:type="dxa"/>
              <w:right w:w="60" w:type="dxa"/>
            </w:tcMar>
            <w:hideMark/>
          </w:tcPr>
          <w:p w14:paraId="3C52EEC3" w14:textId="77777777" w:rsidR="00D272CF" w:rsidRDefault="00D272CF">
            <w:pPr>
              <w:pStyle w:val="NormalWeb"/>
              <w:spacing w:before="0" w:beforeAutospacing="0" w:after="0" w:afterAutospacing="0" w:line="252" w:lineRule="auto"/>
              <w:rPr>
                <w:b/>
                <w:bCs/>
                <w:color w:val="000000"/>
              </w:rPr>
            </w:pPr>
            <w:r>
              <w:rPr>
                <w:b/>
                <w:bCs/>
                <w:color w:val="000000"/>
              </w:rPr>
              <w:t>Special Notes</w:t>
            </w:r>
          </w:p>
        </w:tc>
      </w:tr>
      <w:tr w:rsidR="00D272CF" w14:paraId="6139C949" w14:textId="77777777" w:rsidTr="00D272CF">
        <w:trPr>
          <w:trHeight w:val="887"/>
        </w:trPr>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5FB4FAFA" w14:textId="77777777" w:rsidR="00D272CF" w:rsidRDefault="00D272CF">
            <w:pPr>
              <w:pStyle w:val="NormalWeb"/>
              <w:spacing w:before="0" w:beforeAutospacing="0" w:after="0" w:afterAutospacing="0" w:line="252" w:lineRule="auto"/>
              <w:rPr>
                <w:color w:val="000000"/>
              </w:rPr>
            </w:pPr>
            <w:r>
              <w:rPr>
                <w:color w:val="000000"/>
              </w:rPr>
              <w:t>Column A</w:t>
            </w:r>
          </w:p>
          <w:p w14:paraId="3D0D3D69" w14:textId="77777777" w:rsidR="00D272CF" w:rsidRDefault="00D272CF">
            <w:pPr>
              <w:pStyle w:val="NormalWeb"/>
              <w:spacing w:before="0" w:beforeAutospacing="0" w:after="0" w:afterAutospacing="0" w:line="252" w:lineRule="auto"/>
              <w:rPr>
                <w:color w:val="000000"/>
              </w:rPr>
            </w:pPr>
            <w:r>
              <w:rPr>
                <w:color w:val="000000"/>
              </w:rPr>
              <w:t>(Beginning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3FF9B0E6" w14:textId="77777777" w:rsidR="00D272CF" w:rsidRDefault="00D272CF">
            <w:pPr>
              <w:pStyle w:val="NormalWeb"/>
              <w:spacing w:before="0" w:beforeAutospacing="0" w:after="0" w:afterAutospacing="0" w:line="252" w:lineRule="auto"/>
              <w:rPr>
                <w:color w:val="000000"/>
              </w:rPr>
            </w:pPr>
            <w:r>
              <w:rPr>
                <w:color w:val="000000"/>
              </w:rPr>
              <w:t>Column A (Aliquot)</w:t>
            </w:r>
          </w:p>
        </w:tc>
        <w:tc>
          <w:tcPr>
            <w:tcW w:w="4265" w:type="dxa"/>
            <w:tcBorders>
              <w:top w:val="nil"/>
              <w:left w:val="nil"/>
              <w:bottom w:val="single" w:sz="8" w:space="0" w:color="auto"/>
              <w:right w:val="single" w:sz="8" w:space="0" w:color="A3A3A3"/>
            </w:tcBorders>
            <w:tcMar>
              <w:top w:w="40" w:type="dxa"/>
              <w:left w:w="60" w:type="dxa"/>
              <w:bottom w:w="40" w:type="dxa"/>
              <w:right w:w="60" w:type="dxa"/>
            </w:tcMar>
            <w:hideMark/>
          </w:tcPr>
          <w:p w14:paraId="69043388" w14:textId="77777777" w:rsidR="00D272CF" w:rsidRDefault="00D272CF">
            <w:pPr>
              <w:rPr>
                <w:color w:val="000000"/>
              </w:rPr>
            </w:pPr>
          </w:p>
        </w:tc>
      </w:tr>
      <w:tr w:rsidR="00D272CF" w14:paraId="406E8A20" w14:textId="77777777" w:rsidTr="00D272CF">
        <w:trPr>
          <w:trHeight w:val="905"/>
        </w:trPr>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00EBF068" w14:textId="77777777" w:rsidR="00D272CF" w:rsidRDefault="00D272CF">
            <w:pPr>
              <w:pStyle w:val="NormalWeb"/>
              <w:spacing w:before="0" w:beforeAutospacing="0" w:after="0" w:afterAutospacing="0" w:line="252" w:lineRule="auto"/>
              <w:rPr>
                <w:color w:val="000000"/>
              </w:rPr>
            </w:pPr>
            <w:r>
              <w:rPr>
                <w:color w:val="000000"/>
              </w:rPr>
              <w:t>Column G</w:t>
            </w:r>
          </w:p>
          <w:p w14:paraId="7672750F" w14:textId="77777777" w:rsidR="00D272CF" w:rsidRDefault="00D272CF">
            <w:pPr>
              <w:pStyle w:val="NormalWeb"/>
              <w:spacing w:before="0" w:beforeAutospacing="0" w:after="0" w:afterAutospacing="0" w:line="252" w:lineRule="auto"/>
              <w:rPr>
                <w:color w:val="000000"/>
              </w:rPr>
            </w:pPr>
            <w:r>
              <w:rPr>
                <w:color w:val="000000"/>
              </w:rPr>
              <w:t>OR Columns H, I, and P</w:t>
            </w:r>
          </w:p>
          <w:p w14:paraId="2001B1E5" w14:textId="77777777" w:rsidR="00D272CF" w:rsidRDefault="00D272CF">
            <w:pPr>
              <w:pStyle w:val="NormalWeb"/>
              <w:spacing w:before="0" w:beforeAutospacing="0" w:after="0" w:afterAutospacing="0" w:line="252" w:lineRule="auto"/>
              <w:rPr>
                <w:color w:val="000000"/>
              </w:rPr>
            </w:pPr>
            <w:r>
              <w:rPr>
                <w:color w:val="000000"/>
              </w:rPr>
              <w:t>(Each 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7C125D5A" w14:textId="77777777" w:rsidR="00D272CF" w:rsidRDefault="00D272CF">
            <w:pPr>
              <w:pStyle w:val="NormalWeb"/>
              <w:spacing w:before="0" w:beforeAutospacing="0" w:after="0" w:afterAutospacing="0" w:line="252" w:lineRule="auto"/>
              <w:rPr>
                <w:color w:val="000000"/>
              </w:rPr>
            </w:pPr>
            <w:r>
              <w:rPr>
                <w:color w:val="000000"/>
              </w:rPr>
              <w:t>Column B (Analyte Identifier)</w:t>
            </w:r>
          </w:p>
        </w:tc>
        <w:tc>
          <w:tcPr>
            <w:tcW w:w="4265" w:type="dxa"/>
            <w:tcBorders>
              <w:top w:val="nil"/>
              <w:left w:val="nil"/>
              <w:bottom w:val="single" w:sz="8" w:space="0" w:color="auto"/>
              <w:right w:val="single" w:sz="8" w:space="0" w:color="A3A3A3"/>
            </w:tcBorders>
            <w:tcMar>
              <w:top w:w="40" w:type="dxa"/>
              <w:left w:w="60" w:type="dxa"/>
              <w:bottom w:w="40" w:type="dxa"/>
              <w:right w:w="60" w:type="dxa"/>
            </w:tcMar>
          </w:tcPr>
          <w:p w14:paraId="67944A9E" w14:textId="77777777" w:rsidR="00D272CF" w:rsidRDefault="00D272CF">
            <w:pPr>
              <w:pStyle w:val="NormalWeb"/>
              <w:spacing w:before="0" w:beforeAutospacing="0" w:after="0" w:afterAutospacing="0" w:line="252" w:lineRule="auto"/>
              <w:rPr>
                <w:color w:val="000000"/>
              </w:rPr>
            </w:pPr>
            <w:r>
              <w:rPr>
                <w:color w:val="000000"/>
              </w:rPr>
              <w:t>The analytes in this method will be in the format of their element symbol followed by a wavelength and potentially followed by the letter R. Examples: “Sc 361.383 R” or “Cd 226.502”. This information can be mapped from the instrument file in one of two ways. Use whichever is easiest for you.</w:t>
            </w:r>
          </w:p>
          <w:p w14:paraId="3EFF723B" w14:textId="77777777" w:rsidR="00D272CF" w:rsidRDefault="00D272CF">
            <w:pPr>
              <w:pStyle w:val="NormalWeb"/>
              <w:spacing w:before="0" w:beforeAutospacing="0" w:after="0" w:afterAutospacing="0" w:line="252" w:lineRule="auto"/>
              <w:rPr>
                <w:color w:val="000000"/>
              </w:rPr>
            </w:pPr>
          </w:p>
          <w:p w14:paraId="68CE0B50" w14:textId="77777777" w:rsidR="00D272CF" w:rsidRDefault="00D272CF" w:rsidP="006236C3">
            <w:pPr>
              <w:numPr>
                <w:ilvl w:val="0"/>
                <w:numId w:val="1"/>
              </w:numPr>
              <w:spacing w:line="252" w:lineRule="auto"/>
              <w:rPr>
                <w:rFonts w:eastAsia="Times New Roman"/>
                <w:color w:val="000000"/>
              </w:rPr>
            </w:pPr>
            <w:r>
              <w:rPr>
                <w:rFonts w:eastAsia="Times New Roman"/>
                <w:color w:val="000000"/>
              </w:rPr>
              <w:t>Column G will contain a string of characters similar to the following examples: “B 249.677 S1 Axial” or “Ca 396.847 S2 Radial”. In each case, the “S1” or “S2” always needs to be removed. “Radial” should be replaced with “R”. “Axial” should be removed entirely.</w:t>
            </w:r>
          </w:p>
          <w:p w14:paraId="4394D9A6" w14:textId="77777777" w:rsidR="00D272CF" w:rsidRDefault="00D272CF" w:rsidP="006236C3">
            <w:pPr>
              <w:numPr>
                <w:ilvl w:val="0"/>
                <w:numId w:val="1"/>
              </w:numPr>
              <w:spacing w:line="252" w:lineRule="auto"/>
              <w:rPr>
                <w:rFonts w:eastAsia="Times New Roman"/>
                <w:color w:val="000000"/>
              </w:rPr>
            </w:pPr>
            <w:r>
              <w:rPr>
                <w:rFonts w:eastAsia="Times New Roman"/>
                <w:color w:val="000000"/>
              </w:rPr>
              <w:t>Column H will contain the elemental symbol, column I will contain the wavelength, and Column P will contain either a “0” or a “1”. “0” indicates a radial view, and should be replaced with an “R”, while “1” indicates an axial view, and no suffix should be added to the end of the analyte identifier.</w:t>
            </w:r>
          </w:p>
        </w:tc>
      </w:tr>
      <w:tr w:rsidR="00D272CF" w14:paraId="755068EA" w14:textId="77777777" w:rsidTr="00D272CF">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6BB5B8C7" w14:textId="77777777" w:rsidR="00D272CF" w:rsidRDefault="00D272CF">
            <w:pPr>
              <w:pStyle w:val="NormalWeb"/>
              <w:spacing w:before="0" w:beforeAutospacing="0" w:after="0" w:afterAutospacing="0" w:line="252" w:lineRule="auto"/>
              <w:rPr>
                <w:color w:val="000000"/>
              </w:rPr>
            </w:pPr>
            <w:r>
              <w:rPr>
                <w:color w:val="000000"/>
              </w:rPr>
              <w:t>Column J (Beginning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357E8B40" w14:textId="77777777" w:rsidR="00D272CF" w:rsidRDefault="00D272CF">
            <w:pPr>
              <w:pStyle w:val="NormalWeb"/>
              <w:spacing w:before="0" w:beforeAutospacing="0" w:after="0" w:afterAutospacing="0" w:line="252" w:lineRule="auto"/>
              <w:rPr>
                <w:color w:val="000000"/>
              </w:rPr>
            </w:pPr>
            <w:r>
              <w:rPr>
                <w:color w:val="000000"/>
              </w:rPr>
              <w:t>Column C (Measured Value)</w:t>
            </w:r>
          </w:p>
        </w:tc>
        <w:tc>
          <w:tcPr>
            <w:tcW w:w="4265" w:type="dxa"/>
            <w:tcBorders>
              <w:top w:val="nil"/>
              <w:left w:val="nil"/>
              <w:bottom w:val="single" w:sz="8" w:space="0" w:color="auto"/>
              <w:right w:val="single" w:sz="8" w:space="0" w:color="A3A3A3"/>
            </w:tcBorders>
            <w:tcMar>
              <w:top w:w="40" w:type="dxa"/>
              <w:left w:w="60" w:type="dxa"/>
              <w:bottom w:w="40" w:type="dxa"/>
              <w:right w:w="60" w:type="dxa"/>
            </w:tcMar>
          </w:tcPr>
          <w:p w14:paraId="52B0F1E3" w14:textId="77777777" w:rsidR="00D272CF" w:rsidRDefault="00D272CF">
            <w:pPr>
              <w:spacing w:line="252" w:lineRule="auto"/>
              <w:rPr>
                <w:color w:val="000000"/>
              </w:rPr>
            </w:pPr>
          </w:p>
          <w:p w14:paraId="693C70EC" w14:textId="77777777" w:rsidR="00D272CF" w:rsidRDefault="00D272CF">
            <w:pPr>
              <w:spacing w:line="252" w:lineRule="auto"/>
              <w:rPr>
                <w:color w:val="000000"/>
              </w:rPr>
            </w:pPr>
          </w:p>
          <w:p w14:paraId="4EC4F74F" w14:textId="77777777" w:rsidR="00D272CF" w:rsidRDefault="00D272CF">
            <w:pPr>
              <w:spacing w:line="252" w:lineRule="auto"/>
              <w:rPr>
                <w:color w:val="000000"/>
              </w:rPr>
            </w:pPr>
          </w:p>
        </w:tc>
      </w:tr>
      <w:tr w:rsidR="00D272CF" w14:paraId="46E6063D" w14:textId="77777777" w:rsidTr="00D272CF">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28D5C355" w14:textId="77777777" w:rsidR="00D272CF" w:rsidRDefault="00D272CF">
            <w:pPr>
              <w:pStyle w:val="NormalWeb"/>
              <w:spacing w:before="0" w:beforeAutospacing="0" w:after="0" w:afterAutospacing="0" w:line="252" w:lineRule="auto"/>
              <w:rPr>
                <w:color w:val="000000"/>
              </w:rPr>
            </w:pPr>
            <w:r>
              <w:rPr>
                <w:color w:val="000000"/>
              </w:rPr>
              <w:t>Column B and Column C</w:t>
            </w:r>
          </w:p>
          <w:p w14:paraId="2BB36421" w14:textId="77777777" w:rsidR="00D272CF" w:rsidRDefault="00D272CF">
            <w:pPr>
              <w:pStyle w:val="NormalWeb"/>
              <w:spacing w:before="0" w:beforeAutospacing="0" w:after="0" w:afterAutospacing="0" w:line="252" w:lineRule="auto"/>
              <w:rPr>
                <w:color w:val="000000"/>
              </w:rPr>
            </w:pPr>
            <w:r>
              <w:rPr>
                <w:color w:val="000000"/>
              </w:rPr>
              <w:t>(Beginning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1C150E12" w14:textId="77777777" w:rsidR="00D272CF" w:rsidRDefault="00D272CF">
            <w:pPr>
              <w:pStyle w:val="NormalWeb"/>
              <w:spacing w:before="0" w:beforeAutospacing="0" w:after="0" w:afterAutospacing="0" w:line="252" w:lineRule="auto"/>
              <w:rPr>
                <w:color w:val="000000"/>
              </w:rPr>
            </w:pPr>
            <w:r>
              <w:rPr>
                <w:color w:val="000000"/>
              </w:rPr>
              <w:t>Column F (Analysis Date/Time)</w:t>
            </w:r>
          </w:p>
        </w:tc>
        <w:tc>
          <w:tcPr>
            <w:tcW w:w="4265" w:type="dxa"/>
            <w:tcBorders>
              <w:top w:val="nil"/>
              <w:left w:val="nil"/>
              <w:bottom w:val="single" w:sz="8" w:space="0" w:color="auto"/>
              <w:right w:val="single" w:sz="8" w:space="0" w:color="A3A3A3"/>
            </w:tcBorders>
            <w:tcMar>
              <w:top w:w="40" w:type="dxa"/>
              <w:left w:w="60" w:type="dxa"/>
              <w:bottom w:w="40" w:type="dxa"/>
              <w:right w:w="60" w:type="dxa"/>
            </w:tcMar>
            <w:hideMark/>
          </w:tcPr>
          <w:p w14:paraId="6EC99856" w14:textId="77777777" w:rsidR="00D272CF" w:rsidRDefault="00D272CF">
            <w:pPr>
              <w:spacing w:line="252" w:lineRule="auto"/>
              <w:rPr>
                <w:color w:val="000000"/>
              </w:rPr>
            </w:pPr>
            <w:r>
              <w:rPr>
                <w:color w:val="000000"/>
              </w:rPr>
              <w:t>Merge the date in Column B with the time in Column C</w:t>
            </w:r>
          </w:p>
        </w:tc>
      </w:tr>
      <w:tr w:rsidR="00D272CF" w14:paraId="0EB45B23" w14:textId="77777777" w:rsidTr="00D272CF">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018A3AB0" w14:textId="77777777" w:rsidR="00D272CF" w:rsidRDefault="00D272CF">
            <w:pPr>
              <w:pStyle w:val="NormalWeb"/>
              <w:spacing w:before="0" w:beforeAutospacing="0" w:after="0" w:afterAutospacing="0" w:line="252" w:lineRule="auto"/>
              <w:rPr>
                <w:color w:val="000000"/>
              </w:rPr>
            </w:pPr>
            <w:r>
              <w:rPr>
                <w:color w:val="000000"/>
              </w:rPr>
              <w:t>Column E and Column F</w:t>
            </w:r>
          </w:p>
          <w:p w14:paraId="2EFA3453" w14:textId="77777777" w:rsidR="00D272CF" w:rsidRDefault="00D272CF">
            <w:pPr>
              <w:pStyle w:val="NormalWeb"/>
              <w:spacing w:before="0" w:beforeAutospacing="0" w:after="0" w:afterAutospacing="0" w:line="252" w:lineRule="auto"/>
              <w:rPr>
                <w:color w:val="000000"/>
              </w:rPr>
            </w:pPr>
            <w:r>
              <w:rPr>
                <w:color w:val="000000"/>
              </w:rPr>
              <w:t>(Beginning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4FB62B72" w14:textId="77777777" w:rsidR="00D272CF" w:rsidRDefault="00D272CF">
            <w:pPr>
              <w:pStyle w:val="NormalWeb"/>
              <w:spacing w:before="0" w:beforeAutospacing="0" w:after="0" w:afterAutospacing="0" w:line="252" w:lineRule="auto"/>
              <w:rPr>
                <w:color w:val="000000"/>
              </w:rPr>
            </w:pPr>
            <w:r>
              <w:rPr>
                <w:color w:val="000000"/>
              </w:rPr>
              <w:t>Column E (Dilution Factor)</w:t>
            </w:r>
          </w:p>
        </w:tc>
        <w:tc>
          <w:tcPr>
            <w:tcW w:w="4265" w:type="dxa"/>
            <w:tcBorders>
              <w:top w:val="nil"/>
              <w:left w:val="nil"/>
              <w:bottom w:val="single" w:sz="8" w:space="0" w:color="auto"/>
              <w:right w:val="single" w:sz="8" w:space="0" w:color="A3A3A3"/>
            </w:tcBorders>
            <w:tcMar>
              <w:top w:w="40" w:type="dxa"/>
              <w:left w:w="60" w:type="dxa"/>
              <w:bottom w:w="40" w:type="dxa"/>
              <w:right w:w="60" w:type="dxa"/>
            </w:tcMar>
            <w:hideMark/>
          </w:tcPr>
          <w:p w14:paraId="1AAD8AD9" w14:textId="77777777" w:rsidR="00D272CF" w:rsidRDefault="00D272CF">
            <w:pPr>
              <w:spacing w:line="252" w:lineRule="auto"/>
              <w:rPr>
                <w:color w:val="000000"/>
              </w:rPr>
            </w:pPr>
            <w:r>
              <w:rPr>
                <w:color w:val="000000"/>
              </w:rPr>
              <w:t>Divide the number in Column F by the number in Column E to get the dilution factor</w:t>
            </w:r>
          </w:p>
        </w:tc>
      </w:tr>
    </w:tbl>
    <w:p w14:paraId="311354B3" w14:textId="77777777" w:rsidR="00D272CF" w:rsidRDefault="00D272CF" w:rsidP="00D272CF"/>
    <w:p w14:paraId="40791C31" w14:textId="77777777" w:rsidR="00D272CF" w:rsidRDefault="00D272CF" w:rsidP="00D272CF">
      <w:pPr>
        <w:pStyle w:val="NormalWeb"/>
        <w:spacing w:before="0" w:beforeAutospacing="0" w:after="0" w:afterAutospacing="0"/>
        <w:rPr>
          <w:color w:val="000000"/>
        </w:rPr>
      </w:pPr>
      <w:r>
        <w:rPr>
          <w:color w:val="000000"/>
        </w:rPr>
        <w:t>Thank you,</w:t>
      </w:r>
    </w:p>
    <w:p w14:paraId="71494F77" w14:textId="092BB745" w:rsidR="00F47962" w:rsidRDefault="00D272CF" w:rsidP="00D272CF">
      <w:pPr>
        <w:pStyle w:val="NormalWeb"/>
        <w:spacing w:before="0" w:beforeAutospacing="0" w:after="0" w:afterAutospacing="0"/>
        <w:rPr>
          <w:color w:val="000000"/>
        </w:rPr>
      </w:pPr>
      <w:r>
        <w:rPr>
          <w:color w:val="000000"/>
        </w:rPr>
        <w:t>R. Logan Osborne</w:t>
      </w:r>
    </w:p>
    <w:p w14:paraId="5C590193" w14:textId="77777777" w:rsidR="00DD6E5E" w:rsidRDefault="00DD6E5E" w:rsidP="00DD6E5E">
      <w:pPr>
        <w:outlineLvl w:val="0"/>
      </w:pPr>
      <w:r>
        <w:rPr>
          <w:b/>
          <w:bCs/>
        </w:rPr>
        <w:lastRenderedPageBreak/>
        <w:t>From:</w:t>
      </w:r>
      <w:r>
        <w:t xml:space="preserve"> Wolfe, Kurt &lt;</w:t>
      </w:r>
      <w:hyperlink r:id="rId5" w:history="1">
        <w:r>
          <w:rPr>
            <w:rStyle w:val="Hyperlink"/>
          </w:rPr>
          <w:t>Wolfe.Kurt@epa.gov</w:t>
        </w:r>
      </w:hyperlink>
      <w:r>
        <w:t xml:space="preserve">&gt; </w:t>
      </w:r>
      <w:r>
        <w:br/>
      </w:r>
      <w:r>
        <w:rPr>
          <w:b/>
          <w:bCs/>
        </w:rPr>
        <w:t>Sent:</w:t>
      </w:r>
      <w:r>
        <w:t xml:space="preserve"> Tuesday, January 11, 2022 3:15 PM</w:t>
      </w:r>
      <w:r>
        <w:br/>
      </w:r>
      <w:r>
        <w:rPr>
          <w:b/>
          <w:bCs/>
        </w:rPr>
        <w:t>To:</w:t>
      </w:r>
      <w:r>
        <w:t xml:space="preserve"> Callahan, Curtis &lt;</w:t>
      </w:r>
      <w:hyperlink r:id="rId6" w:history="1">
        <w:r>
          <w:rPr>
            <w:rStyle w:val="Hyperlink"/>
          </w:rPr>
          <w:t>Callahan.Curtis@epa.gov</w:t>
        </w:r>
      </w:hyperlink>
      <w:r>
        <w:t>&gt;; Osborne, Richard &lt;</w:t>
      </w:r>
      <w:hyperlink r:id="rId7" w:history="1">
        <w:r>
          <w:rPr>
            <w:rStyle w:val="Hyperlink"/>
          </w:rPr>
          <w:t>Osborne.Richard@epa.gov</w:t>
        </w:r>
      </w:hyperlink>
      <w:r>
        <w:t>&gt;</w:t>
      </w:r>
      <w:r>
        <w:br/>
      </w:r>
      <w:r>
        <w:rPr>
          <w:b/>
          <w:bCs/>
        </w:rPr>
        <w:t>Cc:</w:t>
      </w:r>
      <w:r>
        <w:t xml:space="preserve"> Dunken, Paul &lt;</w:t>
      </w:r>
      <w:hyperlink r:id="rId8" w:history="1">
        <w:r>
          <w:rPr>
            <w:rStyle w:val="Hyperlink"/>
          </w:rPr>
          <w:t>dunken.paul@epa.gov</w:t>
        </w:r>
      </w:hyperlink>
      <w:r>
        <w:t>&gt;; Smith, Deron &lt;</w:t>
      </w:r>
      <w:hyperlink r:id="rId9" w:history="1">
        <w:r>
          <w:rPr>
            <w:rStyle w:val="Hyperlink"/>
          </w:rPr>
          <w:t>smith.deron@epa.gov</w:t>
        </w:r>
      </w:hyperlink>
      <w:r>
        <w:t>&gt;; Fox, Jakob &lt;</w:t>
      </w:r>
      <w:hyperlink r:id="rId10" w:history="1">
        <w:r>
          <w:rPr>
            <w:rStyle w:val="Hyperlink"/>
          </w:rPr>
          <w:t>Fox.Jakob@epa.gov</w:t>
        </w:r>
      </w:hyperlink>
      <w:r>
        <w:t>&gt;; Browning, Emily &lt;</w:t>
      </w:r>
      <w:hyperlink r:id="rId11" w:history="1">
        <w:r>
          <w:rPr>
            <w:rStyle w:val="Hyperlink"/>
          </w:rPr>
          <w:t>Browning.Emily.E@epa.gov</w:t>
        </w:r>
      </w:hyperlink>
      <w:r>
        <w:t>&gt;</w:t>
      </w:r>
      <w:r>
        <w:br/>
      </w:r>
      <w:r>
        <w:rPr>
          <w:b/>
          <w:bCs/>
        </w:rPr>
        <w:t>Subject:</w:t>
      </w:r>
      <w:r>
        <w:t xml:space="preserve"> New processors</w:t>
      </w:r>
    </w:p>
    <w:p w14:paraId="5D9E5D09" w14:textId="77777777" w:rsidR="00DD6E5E" w:rsidRDefault="00DD6E5E" w:rsidP="00DD6E5E"/>
    <w:p w14:paraId="1F640D0B" w14:textId="77777777" w:rsidR="00DD6E5E" w:rsidRDefault="00DD6E5E" w:rsidP="00DD6E5E">
      <w:r>
        <w:t>I uploaded the three new processors to OneDrive:</w:t>
      </w:r>
    </w:p>
    <w:p w14:paraId="5C55329D" w14:textId="77777777" w:rsidR="00DD6E5E" w:rsidRDefault="00DD6E5E" w:rsidP="00DD6E5E">
      <w:hyperlink r:id="rId12" w:history="1">
        <w:r>
          <w:rPr>
            <w:noProof/>
            <w:color w:val="0000FF"/>
            <w:shd w:val="clear" w:color="auto" w:fill="F3F2F1"/>
          </w:rPr>
          <w:drawing>
            <wp:inline distT="0" distB="0" distL="0" distR="0" wp14:anchorId="2A8D8182" wp14:editId="11AE1DB0">
              <wp:extent cx="152400" cy="152400"/>
              <wp:effectExtent l="0" t="0" r="0" b="0"/>
              <wp:docPr id="1" name="Picture 1"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icon"/>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rPr>
          <w:t>processors</w:t>
        </w:r>
      </w:hyperlink>
    </w:p>
    <w:p w14:paraId="4B83A626" w14:textId="77777777" w:rsidR="00DD6E5E" w:rsidRDefault="00DD6E5E" w:rsidP="00DD6E5E"/>
    <w:p w14:paraId="1489D5FA" w14:textId="77777777" w:rsidR="00DD6E5E" w:rsidRDefault="00DD6E5E" w:rsidP="00DD6E5E">
      <w:r>
        <w:t>A couple of notes for the CPHEA_ICP processor with the HF_20June2013_RV21.csv.</w:t>
      </w:r>
    </w:p>
    <w:p w14:paraId="06E286F4" w14:textId="77777777" w:rsidR="00DD6E5E" w:rsidRDefault="00DD6E5E" w:rsidP="00DD6E5E">
      <w:r>
        <w:t>The columns used to calculate the dilution factor (columns E and F) are blank. We inserted a value of 0.0 if either of these columns is empty.</w:t>
      </w:r>
    </w:p>
    <w:p w14:paraId="3B5FFBC8" w14:textId="77777777" w:rsidR="00DD6E5E" w:rsidRDefault="00DD6E5E" w:rsidP="00DD6E5E"/>
    <w:p w14:paraId="6C4B09E3" w14:textId="77777777" w:rsidR="00DD6E5E" w:rsidRDefault="00DD6E5E" w:rsidP="00DD6E5E">
      <w:r>
        <w:t>There are empty values for the measured value (column J). Currently throwing an exception and halting processing when we encounter an empty cell. Is there a preferred way to handle this?</w:t>
      </w:r>
    </w:p>
    <w:p w14:paraId="15C72854" w14:textId="77777777" w:rsidR="00DD6E5E" w:rsidRDefault="00DD6E5E" w:rsidP="00DD6E5E"/>
    <w:p w14:paraId="1462D07F" w14:textId="77777777" w:rsidR="00DD6E5E" w:rsidRDefault="00DD6E5E" w:rsidP="00DD6E5E">
      <w:r>
        <w:t>Let us know how they work.</w:t>
      </w:r>
    </w:p>
    <w:p w14:paraId="2DE55189" w14:textId="77777777" w:rsidR="00DD6E5E" w:rsidRDefault="00DD6E5E" w:rsidP="00DD6E5E"/>
    <w:p w14:paraId="5175AD7D" w14:textId="77777777" w:rsidR="00DD6E5E" w:rsidRDefault="00DD6E5E" w:rsidP="00DD6E5E">
      <w:r>
        <w:t>Kurt</w:t>
      </w:r>
    </w:p>
    <w:p w14:paraId="099CB85A" w14:textId="5FB5AB06" w:rsidR="00DD6E5E" w:rsidRDefault="00DD6E5E" w:rsidP="00DD6E5E"/>
    <w:p w14:paraId="576EE6F6" w14:textId="73E0EB2F" w:rsidR="00DD6E5E" w:rsidRDefault="00DD6E5E" w:rsidP="00DD6E5E">
      <w:r>
        <w:t>--------------------------------------------------------------------------------------------------------------------------</w:t>
      </w:r>
    </w:p>
    <w:p w14:paraId="7D6B3135" w14:textId="77777777" w:rsidR="00DD6E5E" w:rsidRDefault="00DD6E5E" w:rsidP="00DD6E5E"/>
    <w:p w14:paraId="41CC29E5" w14:textId="784EFF15" w:rsidR="00DD6E5E" w:rsidRDefault="00DD6E5E" w:rsidP="00DD6E5E">
      <w:r>
        <w:t>Thank you for uploading the new processors.</w:t>
      </w:r>
    </w:p>
    <w:p w14:paraId="50700278" w14:textId="77777777" w:rsidR="00DD6E5E" w:rsidRDefault="00DD6E5E" w:rsidP="00DD6E5E"/>
    <w:p w14:paraId="741B8BFC" w14:textId="77777777" w:rsidR="00DD6E5E" w:rsidRDefault="00DD6E5E" w:rsidP="00DD6E5E">
      <w:r>
        <w:t>After reviewing your questions regarding the CPHEA ICP Parser, we realized that we do not need to map anything to the dilution factor column in the universal parser template. Please remove all mapping from column E and F in the original file. (The reason is that this information equates to a preparation factor in the LIMS, not a dilution factor.) For column J in the original file, if any cells are blank, please insert a value of 0.00 in the parsed file.</w:t>
      </w:r>
    </w:p>
    <w:p w14:paraId="5FD62CF2" w14:textId="77777777" w:rsidR="00DD6E5E" w:rsidRDefault="00DD6E5E" w:rsidP="00DD6E5E"/>
    <w:p w14:paraId="3687170E" w14:textId="77777777" w:rsidR="00DD6E5E" w:rsidRDefault="00DD6E5E" w:rsidP="00DD6E5E">
      <w:r>
        <w:t>Let us know if you have any questions.</w:t>
      </w:r>
    </w:p>
    <w:p w14:paraId="778C5770" w14:textId="77777777" w:rsidR="00DD6E5E" w:rsidRDefault="00DD6E5E" w:rsidP="00DD6E5E"/>
    <w:p w14:paraId="5E035E58" w14:textId="77777777" w:rsidR="00DD6E5E" w:rsidRDefault="00DD6E5E" w:rsidP="00DD6E5E">
      <w:r>
        <w:t>Thank you,</w:t>
      </w:r>
    </w:p>
    <w:p w14:paraId="42473D25" w14:textId="77777777" w:rsidR="00DD6E5E" w:rsidRDefault="00DD6E5E" w:rsidP="00DD6E5E"/>
    <w:p w14:paraId="420192DA" w14:textId="77777777" w:rsidR="00DD6E5E" w:rsidRDefault="00DD6E5E" w:rsidP="00DD6E5E">
      <w:r>
        <w:t>R. Logan Osborne</w:t>
      </w:r>
    </w:p>
    <w:p w14:paraId="516B89F0" w14:textId="77777777" w:rsidR="00DD6E5E" w:rsidRDefault="00DD6E5E" w:rsidP="00DD6E5E"/>
    <w:p w14:paraId="6D228949" w14:textId="77777777" w:rsidR="00DD6E5E" w:rsidRPr="00D272CF" w:rsidRDefault="00DD6E5E" w:rsidP="00D272CF">
      <w:pPr>
        <w:pStyle w:val="NormalWeb"/>
        <w:spacing w:before="0" w:beforeAutospacing="0" w:after="0" w:afterAutospacing="0"/>
        <w:rPr>
          <w:color w:val="000000"/>
        </w:rPr>
      </w:pPr>
    </w:p>
    <w:sectPr w:rsidR="00DD6E5E" w:rsidRPr="00D2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A584E"/>
    <w:multiLevelType w:val="hybridMultilevel"/>
    <w:tmpl w:val="35CE9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CF"/>
    <w:rsid w:val="003C2FAD"/>
    <w:rsid w:val="00D272CF"/>
    <w:rsid w:val="00DD6E5E"/>
    <w:rsid w:val="00F4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ECA1"/>
  <w15:chartTrackingRefBased/>
  <w15:docId w15:val="{C1F7C2C0-9C4B-4789-AF65-6DDE5A7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C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2CF"/>
    <w:pPr>
      <w:spacing w:before="100" w:beforeAutospacing="1" w:after="100" w:afterAutospacing="1"/>
    </w:pPr>
  </w:style>
  <w:style w:type="character" w:styleId="Hyperlink">
    <w:name w:val="Hyperlink"/>
    <w:basedOn w:val="DefaultParagraphFont"/>
    <w:uiPriority w:val="99"/>
    <w:semiHidden/>
    <w:unhideWhenUsed/>
    <w:rsid w:val="00DD6E5E"/>
    <w:rPr>
      <w:color w:val="0563C1"/>
      <w:u w:val="single"/>
    </w:rPr>
  </w:style>
  <w:style w:type="character" w:styleId="SmartLink">
    <w:name w:val="Smart Link"/>
    <w:basedOn w:val="DefaultParagraphFont"/>
    <w:uiPriority w:val="99"/>
    <w:semiHidden/>
    <w:unhideWhenUsed/>
    <w:rsid w:val="00DD6E5E"/>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574672">
      <w:bodyDiv w:val="1"/>
      <w:marLeft w:val="0"/>
      <w:marRight w:val="0"/>
      <w:marTop w:val="0"/>
      <w:marBottom w:val="0"/>
      <w:divBdr>
        <w:top w:val="none" w:sz="0" w:space="0" w:color="auto"/>
        <w:left w:val="none" w:sz="0" w:space="0" w:color="auto"/>
        <w:bottom w:val="none" w:sz="0" w:space="0" w:color="auto"/>
        <w:right w:val="none" w:sz="0" w:space="0" w:color="auto"/>
      </w:divBdr>
    </w:div>
    <w:div w:id="16544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ken.paul@epa.gov"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Osborne.Richard@epa.gov" TargetMode="External"/><Relationship Id="rId12" Type="http://schemas.openxmlformats.org/officeDocument/2006/relationships/hyperlink" Target="https://gcc02.safelinks.protection.outlook.com/?url=https%3A%2F%2Fusepa-my.sharepoint.com%2F%3Af%3A%2Fr%2Fpersonal%2Fwolfe_kurt_epa_gov%2FDocuments%2Flims%2FLIMSDesktop%2Fapp_files%2Fprocessors%3Fcsf%3D1%26web%3D1%26e%3DNL0mbi&amp;data=04%7C01%7COsborne.Richard%40epa.gov%7C13487287b07349034af108d9d53f06d1%7C88b378b367484867acf976aacbeca6a7%7C0%7C0%7C637775288942287245%7CUnknown%7CTWFpbGZsb3d8eyJWIjoiMC4wLjAwMDAiLCJQIjoiV2luMzIiLCJBTiI6Ik1haWwiLCJXVCI6Mn0%3D%7C3000&amp;sdata=e5B5n2jTq8P2mGrsvQ%2FTb%2F%2BWy7UVDLF3qoZ9pJGkrJY%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allahan.Curtis@epa.gov" TargetMode="External"/><Relationship Id="rId11" Type="http://schemas.openxmlformats.org/officeDocument/2006/relationships/hyperlink" Target="mailto:Browning.Emily.E@epa.gov" TargetMode="External"/><Relationship Id="rId5" Type="http://schemas.openxmlformats.org/officeDocument/2006/relationships/hyperlink" Target="mailto:Wolfe.Kurt@epa.gov" TargetMode="External"/><Relationship Id="rId15" Type="http://schemas.openxmlformats.org/officeDocument/2006/relationships/fontTable" Target="fontTable.xml"/><Relationship Id="rId10" Type="http://schemas.openxmlformats.org/officeDocument/2006/relationships/hyperlink" Target="mailto:Fox.Jakob@epa.gov" TargetMode="External"/><Relationship Id="rId4" Type="http://schemas.openxmlformats.org/officeDocument/2006/relationships/webSettings" Target="webSettings.xml"/><Relationship Id="rId9" Type="http://schemas.openxmlformats.org/officeDocument/2006/relationships/hyperlink" Target="mailto:smith.deron@epa.gov" TargetMode="External"/><Relationship Id="rId14" Type="http://schemas.openxmlformats.org/officeDocument/2006/relationships/image" Target="cid:image001.png@01D80708.A41286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Kurt</dc:creator>
  <cp:keywords/>
  <dc:description/>
  <cp:lastModifiedBy>Wolfe, Kurt</cp:lastModifiedBy>
  <cp:revision>2</cp:revision>
  <dcterms:created xsi:type="dcterms:W3CDTF">2022-01-11T19:49:00Z</dcterms:created>
  <dcterms:modified xsi:type="dcterms:W3CDTF">2022-01-11T21:57:00Z</dcterms:modified>
</cp:coreProperties>
</file>