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 term trends in water quality within the broader region of the northeastern United States, we were curious if those trends were also present in water quality trends in Rhode Island lakes and reservoirs.</w:t>
      </w:r>
    </w:p>
    <w:p>
      <w:pPr>
        <w:pStyle w:val="BodyText"/>
      </w:pPr>
      <w:r>
        <w:t xml:space="preserve">Examining long 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 term climate records (e.g.,</w:t>
      </w:r>
      <w:r>
        <w:t xml:space="preserve"> </w:t>
      </w:r>
      <w:r>
        <w:t xml:space="preserve">(Jones and Hulme 1996)</w:t>
      </w:r>
      <w:r>
        <w:t xml:space="preserve">) to water quality data in order to examine long 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 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Second, scale does indeed matter when trying to identify long-term water quality trends as our analysis shows little increasing trend in broad scale (e.g. Northeastern and Mid-western United States) patterns of productivity, but do show clear increasing trends for just the state of Rhode Island. In the discussion that follows, we more closely address these trends, discuss broader implications of these results, and reiterate the value of the data analysis approach we used.</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nitrogen:phosphorus ratio are all relatively stable. These stable nutrient regimes may be partly explained by efforts to curb nutrient loadings (e.g., [NEED REFERENCES HERE]). Additionally, these results point to the fact that productivity is driven by processes operating at different scales. For instance, controlling for nutrients is largely a local to watershed scale effort, but may also be regional as atmospheric nitrogen deposition can be a significant source of nitrogen [NEED REFERENCES HERE]. Similarly, warming lakes are driven by broader, climate patterns, yet waterbody specific factors such as percent impervious in the watershed and lake morphology can also impact temperature [NEED REFERENCES HERE]. So, when examining differences in regional and state level trends those trends are the results of complex interacting drivers.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Second, are trends influenced by the current state of a given waterbody? For instance, are oligotrophic lakes showing stronger trends than eutorphic lakes or are all lakes showing similar trends regardless of current trohpic status? These questions all warrant further, careful investigation.</w:t>
      </w:r>
    </w:p>
    <w:p>
      <w:pPr>
        <w:pStyle w:val="Heading2"/>
      </w:pPr>
      <w:bookmarkStart w:id="42" w:name="broader-implications"/>
      <w:r>
        <w:t xml:space="preserve">Broader Implications</w:t>
      </w:r>
      <w:bookmarkEnd w:id="42"/>
    </w:p>
    <w:p>
      <w:pPr>
        <w:pStyle w:val="Compact"/>
        <w:numPr>
          <w:numId w:val="1002"/>
          <w:ilvl w:val="0"/>
        </w:numPr>
      </w:pPr>
      <w:r>
        <w:t xml:space="preserve">Provides feedback on long term changes for managers and stakeholders</w:t>
      </w:r>
    </w:p>
    <w:p>
      <w:pPr>
        <w:pStyle w:val="Compact"/>
        <w:numPr>
          <w:numId w:val="1002"/>
          <w:ilvl w:val="0"/>
        </w:numPr>
      </w:pPr>
      <w:r>
        <w:t xml:space="preserve">Season Length Changes</w:t>
      </w:r>
    </w:p>
    <w:p>
      <w:pPr>
        <w:pStyle w:val="Compact"/>
        <w:numPr>
          <w:numId w:val="1002"/>
          <w:ilvl w:val="0"/>
        </w:numPr>
      </w:pPr>
      <w:r>
        <w:t xml:space="preserve">How to stabilize trends?</w:t>
      </w:r>
    </w:p>
    <w:p>
      <w:pPr>
        <w:pStyle w:val="Compact"/>
        <w:numPr>
          <w:numId w:val="1003"/>
          <w:ilvl w:val="1"/>
        </w:numPr>
      </w:pPr>
      <w:r>
        <w:t xml:space="preserve">More reductions in nutrients?</w:t>
      </w:r>
      <w:r>
        <w:br/>
      </w:r>
    </w:p>
    <w:p>
      <w:pPr>
        <w:pStyle w:val="Compact"/>
        <w:numPr>
          <w:numId w:val="1003"/>
          <w:ilvl w:val="1"/>
        </w:numPr>
      </w:pPr>
      <w:r>
        <w:t xml:space="preserve">Engineered solutions to slow warming?</w:t>
      </w:r>
    </w:p>
    <w:p>
      <w:pPr>
        <w:pStyle w:val="Compact"/>
        <w:numPr>
          <w:numId w:val="1003"/>
          <w:ilvl w:val="1"/>
        </w:numPr>
      </w:pPr>
      <w:r>
        <w:t xml:space="preserve">Look to individual lakes that buck the trend for suggestions (e.g. local land cover may provide a buffer)</w:t>
      </w:r>
    </w:p>
    <w:p>
      <w:pPr>
        <w:pStyle w:val="Compact"/>
        <w:numPr>
          <w:numId w:val="1003"/>
          <w:ilvl w:val="1"/>
        </w:numPr>
      </w:pPr>
      <w:r>
        <w:t xml:space="preserve">stable nutrients doesn’t mean they are low, just not getting worse</w:t>
      </w:r>
    </w:p>
    <w:p>
      <w:pPr>
        <w:pStyle w:val="Compact"/>
        <w:numPr>
          <w:numId w:val="1003"/>
          <w:ilvl w:val="1"/>
        </w:numPr>
      </w:pPr>
      <w:r>
        <w:t xml:space="preserve">interventions to reduce nutrients could offset the suggested increase caused by temperature</w:t>
      </w:r>
    </w:p>
    <w:p>
      <w:pPr>
        <w:pStyle w:val="Compact"/>
        <w:numPr>
          <w:numId w:val="1004"/>
          <w:ilvl w:val="2"/>
        </w:numPr>
      </w:pPr>
      <w:r>
        <w:t xml:space="preserve">e.g. freshwater mussels restoration</w:t>
      </w:r>
    </w:p>
    <w:p>
      <w:pPr>
        <w:pStyle w:val="Heading2"/>
      </w:pPr>
      <w:bookmarkStart w:id="43" w:name="data-analysis-approach"/>
      <w:r>
        <w:t xml:space="preserve">Data Analysis Approach</w:t>
      </w:r>
      <w:bookmarkEnd w:id="43"/>
    </w:p>
    <w:p>
      <w:pPr>
        <w:pStyle w:val="Compact"/>
        <w:numPr>
          <w:numId w:val="1005"/>
          <w:ilvl w:val="0"/>
        </w:numPr>
      </w:pPr>
      <w:r>
        <w:t xml:space="preserve">Why this is possible - Fantastic WW data</w:t>
      </w:r>
    </w:p>
    <w:p>
      <w:pPr>
        <w:pStyle w:val="Compact"/>
        <w:numPr>
          <w:numId w:val="1005"/>
          <w:ilvl w:val="0"/>
        </w:numPr>
      </w:pPr>
      <w:r>
        <w:t xml:space="preserve">Use of site specific z-scores</w:t>
      </w:r>
    </w:p>
    <w:p>
      <w:pPr>
        <w:pStyle w:val="Compact"/>
        <w:numPr>
          <w:numId w:val="1006"/>
          <w:ilvl w:val="1"/>
        </w:numPr>
      </w:pPr>
      <w:r>
        <w:t xml:space="preserve">Other approaches available, but this one is useful because it provided readily interpretable results, robust to variations in sampling stations (i.e. added later in period, removed, etc.), and based off of approach with long history of use in exploring long term trends</w:t>
      </w:r>
      <w:r>
        <w:t xml:space="preserve"> </w:t>
      </w:r>
      <w:r>
        <w:t xml:space="preserve">(Hansen et al. 2006 pp. hansen2010global, @jones1996calculating, @jones1999surface)</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2019-05-21T19:07:03Z</dcterms:created>
  <dcterms:modified xsi:type="dcterms:W3CDTF">2019-05-21T19:07:03Z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