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5.jpg" ContentType="image/jpeg"/>
  <Override PartName="/word/media/rId25.jpg" ContentType="image/jpeg"/>
  <Override PartName="/word/media/rId32.jpg" ContentType="image/jpeg"/>
  <Override PartName="/word/media/rId33.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26</w:t>
      </w:r>
      <w:r>
        <w:t xml:space="preserve"> </w:t>
      </w:r>
      <w:r>
        <w:t xml:space="preserve">Years</w:t>
      </w:r>
      <w:r>
        <w:t xml:space="preserve"> </w:t>
      </w:r>
      <w:r>
        <w:t xml:space="preserve">of</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The University of Rhode Island’s Watershed Watch (URI WW) Volunteer Monitoring program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We will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BodyText"/>
      </w:pPr>
      <w:r>
        <w:rPr>
          <w:i/>
        </w:rPr>
        <w:t xml:space="preserve">Figure 1: Map of URI Watershed Watch lake and pond sampling sites</w:t>
      </w:r>
      <w:r>
        <w:t xml:space="preserve"> </w:t>
      </w:r>
      <w:r>
        <w:drawing>
          <wp:inline>
            <wp:extent cx="5943600" cy="4829175"/>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4829175"/>
                    </a:xfrm>
                    <a:prstGeom prst="rect">
                      <a:avLst/>
                    </a:prstGeom>
                    <a:noFill/>
                    <a:ln w="9525">
                      <a:noFill/>
                      <a:headEnd/>
                      <a:tailEnd/>
                    </a:ln>
                  </pic:spPr>
                </pic:pic>
              </a:graphicData>
            </a:graphic>
          </wp:inline>
        </w:drawing>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(Figure 2).</w:t>
      </w:r>
    </w:p>
    <w:p>
      <w:pPr>
        <w:pStyle w:val="BodyText"/>
      </w:pPr>
      <w:r>
        <w:rPr>
          <w:i/>
        </w:rPr>
        <w:t xml:space="preserve">Figure 2: Yearly trend over 20+ years of lake temperature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3).</w:t>
      </w:r>
    </w:p>
    <w:p>
      <w:pPr>
        <w:pStyle w:val="BodyText"/>
      </w:pPr>
      <w:r>
        <w:rPr>
          <w:i/>
        </w:rPr>
        <w:t xml:space="preserve">Figure 3: Yearly trend over 20+ years of Total Nitrogen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3"/>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4).</w:t>
      </w:r>
    </w:p>
    <w:p>
      <w:pPr>
        <w:pStyle w:val="BodyText"/>
      </w:pPr>
      <w:r>
        <w:rPr>
          <w:i/>
        </w:rPr>
        <w:t xml:space="preserve">Figure 4: Yearly trend over 20+ years of Total Phosphorus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4"/>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5).</w:t>
      </w:r>
    </w:p>
    <w:p>
      <w:pPr>
        <w:pStyle w:val="BodyText"/>
      </w:pPr>
      <w:r>
        <w:rPr>
          <w:i/>
        </w:rPr>
        <w:t xml:space="preserve">Figure 5: Yearly trend over 20+ years of Chlorphyll a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5"/>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(Figure 6).</w:t>
      </w:r>
    </w:p>
    <w:p>
      <w:pPr>
        <w:pStyle w:val="BodyText"/>
      </w:pPr>
      <w:r>
        <w:rPr>
          <w:i/>
        </w:rPr>
        <w:t xml:space="preserve">Figure 6: Yearly trend over 20+ years of Total Nitrogen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7).</w:t>
      </w:r>
    </w:p>
    <w:p>
      <w:pPr>
        <w:pStyle w:val="BodyText"/>
      </w:pPr>
      <w:r>
        <w:rPr>
          <w:i/>
        </w:rPr>
        <w:t xml:space="preserve">Figure 7: Yearly trend over 20+ years of Total Phosphorus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8).</w:t>
      </w:r>
    </w:p>
    <w:p>
      <w:pPr>
        <w:pStyle w:val="BodyText"/>
      </w:pPr>
      <w:r>
        <w:rPr>
          <w:i/>
        </w:rPr>
        <w:t xml:space="preserve">Figure 8: Yearly trend over 20+ years of Chlorophyll a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26 Years of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2019-01-30T13:46:33Z</dcterms:created>
  <dcterms:modified xsi:type="dcterms:W3CDTF">2019-01-30T13:46:33Z</dcterms:modified>
</cp:coreProperties>
</file>