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8.jpg" ContentType="image/jpeg"/>
  <Override PartName="/word/media/rId33.jpg" ContentType="image/jpeg"/>
  <Override PartName="/word/media/rId25.jpg" ContentType="image/jpeg"/>
  <Override PartName="/word/media/rId32.jpg" ContentType="image/jpeg"/>
  <Override PartName="/word/media/rId34.jpg" ContentType="image/jpeg"/>
  <Override PartName="/word/media/rId3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Long-term</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close</w:t>
      </w:r>
      <w:r>
        <w:t xml:space="preserve"> </w:t>
      </w:r>
      <w:r>
        <w:t xml:space="preserve">to</w:t>
      </w:r>
      <w:r>
        <w:t xml:space="preserve"> </w:t>
      </w:r>
      <w:r>
        <w:t xml:space="preserve">three</w:t>
      </w:r>
      <w:r>
        <w:t xml:space="preserve"> </w:t>
      </w:r>
      <w:r>
        <w:t xml:space="preserve">decades,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Compact"/>
        <w:numPr>
          <w:numId w:val="1001"/>
          <w:ilvl w:val="0"/>
        </w:numPr>
      </w:pPr>
      <w:r>
        <w:t xml:space="preserve">Water quality in last several decades (Why Water Quality Paragraph(s))</w:t>
      </w:r>
    </w:p>
    <w:p>
      <w:pPr>
        <w:pStyle w:val="Compact"/>
        <w:numPr>
          <w:numId w:val="1002"/>
          <w:ilvl w:val="0"/>
        </w:numPr>
      </w:pPr>
      <w:r>
        <w:t xml:space="preserve">Why of interest</w:t>
      </w:r>
    </w:p>
    <w:p>
      <w:pPr>
        <w:pStyle w:val="Compact"/>
        <w:numPr>
          <w:numId w:val="1003"/>
          <w:ilvl w:val="1"/>
        </w:numPr>
      </w:pPr>
      <w:r>
        <w:t xml:space="preserve">cyanos stuff</w:t>
      </w:r>
    </w:p>
    <w:p>
      <w:pPr>
        <w:pStyle w:val="Compact"/>
        <w:numPr>
          <w:numId w:val="1003"/>
          <w:ilvl w:val="1"/>
        </w:numPr>
      </w:pPr>
      <w:r>
        <w:t xml:space="preserve">CWA stuff</w:t>
      </w:r>
    </w:p>
    <w:p>
      <w:pPr>
        <w:pStyle w:val="Compact"/>
        <w:numPr>
          <w:numId w:val="1002"/>
          <w:ilvl w:val="0"/>
        </w:numPr>
      </w:pPr>
      <w:r>
        <w:t xml:space="preserve">Understand long-term trends from local, to regional, to national</w:t>
      </w:r>
    </w:p>
    <w:p>
      <w:pPr>
        <w:pStyle w:val="Compact"/>
        <w:numPr>
          <w:numId w:val="1002"/>
          <w:ilvl w:val="0"/>
        </w:numPr>
      </w:pPr>
      <w:r>
        <w:t xml:space="preserve">What variables are of interest and why</w:t>
      </w:r>
    </w:p>
    <w:p>
      <w:pPr>
        <w:pStyle w:val="Compact"/>
        <w:numPr>
          <w:numId w:val="1004"/>
          <w:ilvl w:val="1"/>
        </w:numPr>
      </w:pPr>
      <w:r>
        <w:t xml:space="preserve">productivity</w:t>
      </w:r>
    </w:p>
    <w:p>
      <w:pPr>
        <w:pStyle w:val="Compact"/>
        <w:numPr>
          <w:numId w:val="1004"/>
          <w:ilvl w:val="1"/>
        </w:numPr>
      </w:pPr>
      <w:r>
        <w:t xml:space="preserve">climate change</w:t>
      </w:r>
    </w:p>
    <w:p>
      <w:pPr>
        <w:pStyle w:val="Compact"/>
        <w:numPr>
          <w:numId w:val="1004"/>
          <w:ilvl w:val="1"/>
        </w:numPr>
      </w:pPr>
      <w:r>
        <w:t xml:space="preserve">Nutrient enrichment stuff</w:t>
      </w:r>
    </w:p>
    <w:p>
      <w:pPr>
        <w:numPr>
          <w:numId w:val="1005"/>
          <w:ilvl w:val="0"/>
        </w:numPr>
      </w:pPr>
      <w:r>
        <w:t xml:space="preserve">Temporal and Spatial scaling of water quality trends Paragraph</w:t>
      </w:r>
    </w:p>
    <w:p>
      <w:pPr>
        <w:pStyle w:val="Compact"/>
        <w:numPr>
          <w:numId w:val="1005"/>
          <w:ilvl w:val="0"/>
        </w:numPr>
      </w:pPr>
      <w:r>
        <w:t xml:space="preserve">Work has been done in the larger Northeastern Region of US (Northeastern Paragraph)</w:t>
      </w:r>
    </w:p>
    <w:p>
      <w:pPr>
        <w:pStyle w:val="Compact"/>
        <w:numPr>
          <w:numId w:val="1006"/>
          <w:ilvl w:val="0"/>
        </w:numPr>
      </w:pPr>
      <w:r>
        <w:t xml:space="preserve">Shown to be stable in LAGOS (Maybe other studies in NE)</w:t>
      </w:r>
    </w:p>
    <w:p>
      <w:pPr>
        <w:pStyle w:val="Compact"/>
        <w:numPr>
          <w:numId w:val="1006"/>
          <w:ilvl w:val="0"/>
        </w:numPr>
      </w:pPr>
      <w:r>
        <w:t xml:space="preserve">“</w:t>
      </w: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w:t>
      </w:r>
      <w:r>
        <w:t xml:space="preserve">”</w:t>
      </w:r>
    </w:p>
    <w:p>
      <w:pPr>
        <w:numPr>
          <w:numId w:val="1007"/>
          <w:ilvl w:val="0"/>
        </w:numPr>
      </w:pPr>
      <w:r>
        <w:t xml:space="preserve">Rhode Island Paragraph (May be combined with #3)</w:t>
      </w:r>
    </w:p>
    <w:p>
      <w:pPr>
        <w:numPr>
          <w:numId w:val="1007"/>
          <w:ilvl w:val="0"/>
        </w:numPr>
      </w:pPr>
      <w:r>
        <w:t xml:space="preserve">Thus, the goals of this study were to look at approximately 25 years of lakes and ponds data in Rhode Island and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The URIWW is a volunteer monitoring program that has been collecting water quality data from Rhode Island lakes and ponds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ponds, weekly secchi depth and water temperature are recorded, along with bi-weekly Chl-a and dissolved oxygen. Water samples are collected three times per season (May through October) to be analyzed in the EPA-certified laboratory for nutrients, alkalinity, pH, and bacteria.</w:t>
      </w:r>
    </w:p>
    <w:p>
      <w:pPr>
        <w:pStyle w:val="BodyText"/>
      </w:pPr>
      <w:r>
        <w:rPr>
          <w:i/>
        </w:rPr>
        <w:t xml:space="preserve">Figure 1: Map of URI Watershed Watch lake and pond sampling sites</w:t>
      </w:r>
      <w:r>
        <w:t xml:space="preserve"> </w:t>
      </w:r>
      <w:r>
        <w:drawing>
          <wp:inline>
            <wp:extent cx="5943600" cy="7766304"/>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BodyText"/>
      </w:pPr>
      <w:r>
        <w:t xml:space="preserve">In particular we selected data from the URIWW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kendalls-tau"/>
      <w:r>
        <w:t xml:space="preserve">Kendall’s Tau</w:t>
      </w:r>
      <w:bookmarkEnd w:id="28"/>
    </w:p>
    <w:p>
      <w:pPr>
        <w:pStyle w:val="FirstParagraph"/>
      </w:pPr>
      <w:r>
        <w:t xml:space="preserve">Kendall’s Tau and the Mann-Kendall test are commonly used to test for monotonic trends water quality data</w:t>
      </w:r>
      <w:r>
        <w:t xml:space="preserve"> </w:t>
      </w:r>
      <w:r>
        <w:t xml:space="preserve">[5–7]</w:t>
      </w:r>
      <w:r>
        <w:t xml:space="preserve">. We followed these standard procedures to test for postive or negative trends in lake temperature, chlorophyll</w:t>
      </w:r>
      <w:r>
        <w:t xml:space="preserve"> </w:t>
      </w:r>
      <w:r>
        <w:rPr>
          <w:i/>
        </w:rPr>
        <w:t xml:space="preserve">a</w:t>
      </w:r>
      <w:r>
        <w:t xml:space="preserve">, total nitrogen, and total phosphorus.</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sampling period of 1990 to 2016 Rhode Island lakes and ponds average lake temperature was 22.08 celsius, average total nitrogen was 611.26 µg/l, average total phosphorus was 24.27 µg/l, and average chlorophyll was 10.08 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t xml:space="preserve">For lakes in ponds in the larger region represented by the LAGOSNE States, average total nitrogen was 905.24 µg/l, average total phosphorus was 33.74 µg/l, and average chlorophyll was 17.71 µg/l (Table 2).</w:t>
      </w:r>
    </w:p>
    <w:p>
      <w:pPr>
        <w:pStyle w:val="BodyText"/>
      </w:pPr>
      <w:r>
        <w:rPr>
          <w:i/>
        </w:rPr>
        <w:t xml:space="preserve">Table 2: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370.0</w:t>
            </w:r>
          </w:p>
        </w:tc>
        <w:tc>
          <w:p>
            <w:pPr>
              <w:pStyle w:val="Compact"/>
              <w:jc w:val="right"/>
            </w:pPr>
            <w:r>
              <w:t xml:space="preserve">905.24</w:t>
            </w:r>
          </w:p>
        </w:tc>
        <w:tc>
          <w:p>
            <w:pPr>
              <w:pStyle w:val="Compact"/>
              <w:jc w:val="right"/>
            </w:pPr>
            <w:r>
              <w:t xml:space="preserve">609.0</w:t>
            </w:r>
          </w:p>
        </w:tc>
        <w:tc>
          <w:p>
            <w:pPr>
              <w:pStyle w:val="Compact"/>
              <w:jc w:val="right"/>
            </w:pPr>
            <w:r>
              <w:t xml:space="preserve">1000.0</w:t>
            </w:r>
          </w:p>
        </w:tc>
        <w:tc>
          <w:p>
            <w:pPr>
              <w:pStyle w:val="Compact"/>
              <w:jc w:val="right"/>
            </w:pPr>
            <w:r>
              <w:t xml:space="preserve">20574</w:t>
            </w:r>
          </w:p>
        </w:tc>
        <w:tc>
          <w:p>
            <w:pPr>
              <w:pStyle w:val="Compact"/>
              <w:jc w:val="right"/>
            </w:pPr>
            <w:r>
              <w:t xml:space="preserve">1220.94</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33.74</w:t>
            </w:r>
          </w:p>
        </w:tc>
        <w:tc>
          <w:p>
            <w:pPr>
              <w:pStyle w:val="Compact"/>
              <w:jc w:val="right"/>
            </w:pPr>
            <w:r>
              <w:t xml:space="preserve">16.0</w:t>
            </w:r>
          </w:p>
        </w:tc>
        <w:tc>
          <w:p>
            <w:pPr>
              <w:pStyle w:val="Compact"/>
              <w:jc w:val="right"/>
            </w:pPr>
            <w:r>
              <w:t xml:space="preserve">32.0</w:t>
            </w:r>
          </w:p>
        </w:tc>
        <w:tc>
          <w:p>
            <w:pPr>
              <w:pStyle w:val="Compact"/>
              <w:jc w:val="right"/>
            </w:pPr>
            <w:r>
              <w:t xml:space="preserve">1214</w:t>
            </w:r>
          </w:p>
        </w:tc>
        <w:tc>
          <w:p>
            <w:pPr>
              <w:pStyle w:val="Compact"/>
              <w:jc w:val="right"/>
            </w:pPr>
            <w:r>
              <w:t xml:space="preserve">59.86</w:t>
            </w:r>
          </w:p>
        </w:tc>
      </w:tr>
      <w:tr>
        <w:tc>
          <w:p>
            <w:pPr>
              <w:pStyle w:val="Compact"/>
              <w:jc w:val="left"/>
            </w:pPr>
            <w:r>
              <w:t xml:space="preserve">chla</w:t>
            </w:r>
          </w:p>
        </w:tc>
        <w:tc>
          <w:p>
            <w:pPr>
              <w:pStyle w:val="Compact"/>
              <w:jc w:val="left"/>
            </w:pPr>
            <w:r>
              <w:t xml:space="preserve">µg/l</w:t>
            </w:r>
          </w:p>
        </w:tc>
        <w:tc>
          <w:p>
            <w:pPr>
              <w:pStyle w:val="Compact"/>
              <w:jc w:val="right"/>
            </w:pPr>
            <w:r>
              <w:t xml:space="preserve">2.8</w:t>
            </w:r>
          </w:p>
        </w:tc>
        <w:tc>
          <w:p>
            <w:pPr>
              <w:pStyle w:val="Compact"/>
              <w:jc w:val="right"/>
            </w:pPr>
            <w:r>
              <w:t xml:space="preserve">17.71</w:t>
            </w:r>
          </w:p>
        </w:tc>
        <w:tc>
          <w:p>
            <w:pPr>
              <w:pStyle w:val="Compact"/>
              <w:jc w:val="right"/>
            </w:pPr>
            <w:r>
              <w:t xml:space="preserve">5.9</w:t>
            </w:r>
          </w:p>
        </w:tc>
        <w:tc>
          <w:p>
            <w:pPr>
              <w:pStyle w:val="Compact"/>
              <w:jc w:val="right"/>
            </w:pPr>
            <w:r>
              <w:t xml:space="preserve">16.6</w:t>
            </w:r>
          </w:p>
        </w:tc>
        <w:tc>
          <w:p>
            <w:pPr>
              <w:pStyle w:val="Compact"/>
              <w:jc w:val="right"/>
            </w:pPr>
            <w:r>
              <w:t xml:space="preserve">780</w:t>
            </w:r>
          </w:p>
        </w:tc>
        <w:tc>
          <w:p>
            <w:pPr>
              <w:pStyle w:val="Compact"/>
              <w:jc w:val="right"/>
            </w:pPr>
            <w:r>
              <w:t xml:space="preserve">36.00</w:t>
            </w:r>
          </w:p>
        </w:tc>
      </w:tr>
    </w:tbl>
    <w:p>
      <w:pPr>
        <w:pStyle w:val="Heading2"/>
      </w:pPr>
      <w:bookmarkStart w:id="31" w:name="state-wide-trends-in-water-quality"/>
      <w:r>
        <w:t xml:space="preserve">State-wide trends in water quality</w:t>
      </w:r>
      <w:bookmarkEnd w:id="31"/>
    </w:p>
    <w:p>
      <w:pPr>
        <w:pStyle w:val="FirstParagraph"/>
      </w:pPr>
      <w:r>
        <w:t xml:space="preserve">Average yearly scaled temperature in lakes and ponds appear to be increasing (Kendall’s Tau: 0.407 , p-value: 0.0031) with the large majority of years with average temperature greater than the long term average occuring in the years since 2000 (Figure 2). Chlorophyll</w:t>
      </w:r>
      <w:r>
        <w:t xml:space="preserve"> </w:t>
      </w:r>
      <w:r>
        <w:rPr>
          <w:i/>
        </w:rPr>
        <w:t xml:space="preserve">a</w:t>
      </w:r>
      <w:r>
        <w:t xml:space="preserve"> </w:t>
      </w:r>
      <w:r>
        <w:t xml:space="preserve">is also showing an increasing trend over time (Kendall’s Tau: 0.527 , p-value: 10^{-4}) and with the exception of an early high chlorophyll</w:t>
      </w:r>
      <w:r>
        <w:t xml:space="preserve"> </w:t>
      </w:r>
      <w:r>
        <w:rPr>
          <w:i/>
        </w:rPr>
        <w:t xml:space="preserve">a</w:t>
      </w:r>
      <w:r>
        <w:t xml:space="preserve"> </w:t>
      </w:r>
      <w:r>
        <w:t xml:space="preserve">year in 1992 and a slightly above average year in 2003, the above average years have all occurred since 2010 (Figure 3).</w:t>
      </w:r>
    </w:p>
    <w:p>
      <w:pPr>
        <w:pStyle w:val="BodyText"/>
      </w:pPr>
      <w:r>
        <w:rPr>
          <w:i/>
        </w:rPr>
        <w:t xml:space="preserve">Figure 2: Yearly trend over 20+ years of lake temperature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3: Yearly trend over 20+ years of Chlorphyll a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3"/>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Average yearly trends for nutrients showed weaker or no trends over time. Total nitrogen did have a significant trend (Kendall’s Tau: 0.32 , p-value: 0.0346); however, that trend is driven by the lower than average total nitrogen values in 1993 and 1994 (Figure 4). Since 1995, the yearly trend is not significant (Kendall’s Tau: 0.19 , p-value: 0.2389). Total phosphorus does not show a trend over time in the yearly scaled values (Kendall’s Tau: 0.32 , p-value: 0.0346) and years that are over or under the average are evenly distributed over the years (Figure 5).</w:t>
      </w:r>
    </w:p>
    <w:p>
      <w:pPr>
        <w:pStyle w:val="BodyText"/>
      </w:pPr>
      <w:r>
        <w:rPr>
          <w:i/>
        </w:rPr>
        <w:t xml:space="preserve">Figure 4: Yearly trend over 20+ years of Total Nitrogen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5: Yearly trend over 20+ years of Total Phosphorus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t xml:space="preserve">(Figure 6).</w:t>
      </w:r>
    </w:p>
    <w:p>
      <w:pPr>
        <w:pStyle w:val="BodyText"/>
      </w:pPr>
      <w:r>
        <w:rPr>
          <w:i/>
        </w:rPr>
        <w:t xml:space="preserve">Figure 6: Yearly trend over 20+ years of Total Nitrogen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7"/>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(Figure 7).</w:t>
      </w:r>
    </w:p>
    <w:p>
      <w:pPr>
        <w:pStyle w:val="BodyText"/>
      </w:pPr>
      <w:r>
        <w:rPr>
          <w:i/>
        </w:rPr>
        <w:t xml:space="preserve">Figure 7: Yearly trend over 20+ years of Total Phosphorus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(Figure 8).</w:t>
      </w:r>
    </w:p>
    <w:p>
      <w:pPr>
        <w:pStyle w:val="BodyText"/>
      </w:pPr>
      <w:r>
        <w:rPr>
          <w:i/>
        </w:rPr>
        <w:t xml:space="preserve">Figure 8: Yearly trend over 20+ years of Chlorophyll a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9"/>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3"/>
      </w:pPr>
      <w:bookmarkStart w:id="43" w:name="ri-is-downstream---bryan-will-write"/>
      <w:r>
        <w:t xml:space="preserve">RI is downstream - Bryan will write</w:t>
      </w:r>
      <w:bookmarkEnd w:id="43"/>
    </w:p>
    <w:p>
      <w:pPr>
        <w:pStyle w:val="Heading2"/>
      </w:pPr>
      <w:bookmarkStart w:id="44" w:name="caveats"/>
      <w:r>
        <w:t xml:space="preserve">Caveats</w:t>
      </w:r>
      <w:bookmarkEnd w:id="44"/>
    </w:p>
    <w:p>
      <w:pPr>
        <w:pStyle w:val="Heading1"/>
      </w:pPr>
      <w:bookmarkStart w:id="45" w:name="bibliography"/>
      <w:r>
        <w:t xml:space="preserve">Bibliography</w:t>
      </w:r>
      <w:bookmarkEnd w:id="45"/>
    </w:p>
    <w:bookmarkStart w:id="55" w:name="refs"/>
    <w:bookmarkStart w:id="47"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6">
        <w:r>
          <w:rPr>
            <w:rStyle w:val="Hyperlink"/>
          </w:rPr>
          <w:t xml:space="preserve">https://doi.org/10.1111%2Fgcb.13810</w:t>
        </w:r>
      </w:hyperlink>
      <w:r>
        <w:t xml:space="preserve">.</w:t>
      </w:r>
    </w:p>
    <w:bookmarkEnd w:id="47"/>
    <w:bookmarkStart w:id="48"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8"/>
    <w:bookmarkStart w:id="50" w:name="ref-stacheleklagosne2017"/>
    <w:p>
      <w:pPr>
        <w:pStyle w:val="Bibliography"/>
      </w:pPr>
      <w:r>
        <w:t xml:space="preserve">3. Stachelek J, Oliver S (2017) LAGOSNE: Interface to the lake multi-scaled geospatial and temporal database. Available:</w:t>
      </w:r>
      <w:r>
        <w:t xml:space="preserve"> </w:t>
      </w:r>
      <w:hyperlink r:id="rId49">
        <w:r>
          <w:rPr>
            <w:rStyle w:val="Hyperlink"/>
          </w:rPr>
          <w:t xml:space="preserve">https://cran.r-project.org/package=LAGOSNE</w:t>
        </w:r>
      </w:hyperlink>
      <w:r>
        <w:t xml:space="preserve">.</w:t>
      </w:r>
    </w:p>
    <w:bookmarkEnd w:id="50"/>
    <w:bookmarkStart w:id="51"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1"/>
    <w:bookmarkStart w:id="52" w:name="ref-mann1945nonparametric"/>
    <w:p>
      <w:pPr>
        <w:pStyle w:val="Bibliography"/>
      </w:pPr>
      <w:r>
        <w:t xml:space="preserve">5. Mann HB (1945) Nonparametric tests against trend. Econometrica: Journal of the Econometric Society: 245–259.</w:t>
      </w:r>
    </w:p>
    <w:bookmarkEnd w:id="52"/>
    <w:bookmarkStart w:id="53" w:name="ref-helsel2002statistical"/>
    <w:p>
      <w:pPr>
        <w:pStyle w:val="Bibliography"/>
      </w:pPr>
      <w:r>
        <w:t xml:space="preserve">6. Helsel DR, Hirsch RM (2002) Statistical methods in water resources. US Geological survey Reston, VA, Vol. 323.</w:t>
      </w:r>
    </w:p>
    <w:bookmarkEnd w:id="53"/>
    <w:bookmarkStart w:id="54" w:name="ref-hipel1994time"/>
    <w:p>
      <w:pPr>
        <w:pStyle w:val="Bibliography"/>
      </w:pPr>
      <w:r>
        <w:t xml:space="preserve">7. Hipel KW, McLeod AI (1994) Time series modelling of water resources and environmental systems. Elsevier.</w:t>
      </w:r>
    </w:p>
    <w:bookmarkEnd w:id="54"/>
    <w:bookmarkEnd w:id="55"/>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Long-term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2019-02-11T19:00:24Z</dcterms:created>
  <dcterms:modified xsi:type="dcterms:W3CDTF">2019-02-11T19:00:24Z</dcterms:modified>
</cp:coreProperties>
</file>