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7.jpg" ContentType="image/jpeg"/>
  <Override PartName="/word/media/rId38.jpg" ContentType="image/jpeg"/>
  <Override PartName="/word/media/rId35.jpg" ContentType="image/jpeg"/>
  <Override PartName="/word/media/rId25.jpg" ContentType="image/jpeg"/>
  <Override PartName="/word/media/rId32.jpg" ContentType="image/jpeg"/>
  <Override PartName="/word/media/rId33.jpg" ContentType="image/jpeg"/>
  <Override PartName="/word/media/rId34.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26</w:t>
      </w:r>
      <w:r>
        <w:t xml:space="preserve"> </w:t>
      </w:r>
      <w:r>
        <w:t xml:space="preserve">Years</w:t>
      </w:r>
      <w:r>
        <w:t xml:space="preserve"> </w:t>
      </w:r>
      <w:r>
        <w:t xml:space="preserve">of</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close</w:t>
      </w:r>
      <w:r>
        <w:t xml:space="preserve"> </w:t>
      </w:r>
      <w:r>
        <w:t xml:space="preserve">to</w:t>
      </w:r>
      <w:r>
        <w:t xml:space="preserve"> </w:t>
      </w:r>
      <w:r>
        <w:t xml:space="preserve">three</w:t>
      </w:r>
      <w:r>
        <w:t xml:space="preserve"> </w:t>
      </w:r>
      <w:r>
        <w:t xml:space="preserve">decades,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FirstParagraph"/>
      </w:pPr>
      <w:r>
        <w:t xml:space="preserve">General stuff about long-term trends, monitoring programs and watershed watch details</w:t>
      </w:r>
    </w:p>
    <w:p>
      <w:pPr>
        <w:pStyle w:val="BodyText"/>
      </w:pPr>
      <w:r>
        <w:t xml:space="preserve">The University of Rhode Island’s Watershed Watch (URI WW) Volunteer Monitoring program has been collecting water quality data from Rhode Island lakes and ponds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ponds, weekly secchi depth and water temperature are recorded, along with bi-weekly Chl-a and dissolved oxygen. Water samples are collected three times per season (May through October) to be analyzed in the EPA-certified laboratory for nutrients, alkalinity, pH, and bacteria.</w:t>
      </w:r>
    </w:p>
    <w:p>
      <w:pPr>
        <w:pStyle w:val="BodyText"/>
      </w:pPr>
      <w:r>
        <w:t xml:space="preserve">Given what is known about long term trends in water quality within the broader region of the northeastern United States</w:t>
      </w:r>
      <w:r>
        <w:t xml:space="preserve"> </w:t>
      </w:r>
      <w:r>
        <w:t xml:space="preserve">[1]</w:t>
      </w:r>
      <w:r>
        <w:t xml:space="preserve">, we were curious if those trends were also present in water quality trends in Rhode Island lakes and ponds. Something about spatial and temporal variability of water quality</w:t>
      </w:r>
    </w:p>
    <w:p>
      <w:pPr>
        <w:pStyle w:val="BodyText"/>
      </w:pPr>
      <w:r>
        <w:t xml:space="preserve">The goals of this study were to look at approximately 25 years of lakes and ponds data in Rhode Island. We will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analysis in its entirety is available for independent reproduction at</w:t>
      </w:r>
      <w:r>
        <w:t xml:space="preserve"> </w:t>
      </w:r>
      <w:hyperlink r:id="rId22">
        <w:r>
          <w:rPr>
            <w:rStyle w:val="Hyperlink"/>
          </w:rPr>
          <w:t xml:space="preserve">https://github.com/usepa/ri_wq_trends</w:t>
        </w:r>
      </w:hyperlink>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MORE DETAILS ON RIWW.</w:t>
      </w:r>
    </w:p>
    <w:p>
      <w:pPr>
        <w:pStyle w:val="BodyText"/>
      </w:pPr>
      <w:r>
        <w:rPr>
          <w:i/>
        </w:rPr>
        <w:t xml:space="preserve">Figure 1: Map of URI Watershed Watch lake and pond sampling sites</w:t>
      </w:r>
      <w:r>
        <w:t xml:space="preserve"> </w:t>
      </w:r>
      <w:r>
        <w:drawing>
          <wp:inline>
            <wp:extent cx="5943600" cy="4829175"/>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4829175"/>
                    </a:xfrm>
                    <a:prstGeom prst="rect">
                      <a:avLst/>
                    </a:prstGeom>
                    <a:noFill/>
                    <a:ln w="9525">
                      <a:noFill/>
                      <a:headEnd/>
                      <a:tailEnd/>
                    </a:ln>
                  </pic:spPr>
                </pic:pic>
              </a:graphicData>
            </a:graphic>
          </wp:inline>
        </w:drawing>
      </w:r>
    </w:p>
    <w:p>
      <w:pPr>
        <w:pStyle w:val="BodyText"/>
      </w:pPr>
      <w:r>
        <w:t xml:space="preserve">In particular we selected data from the 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[1,2]</w:t>
      </w:r>
      <w:r>
        <w:t xml:space="preserve">. The authors found little change in water quality trends across this region</w:t>
      </w:r>
      <w:r>
        <w:t xml:space="preserve"> </w:t>
      </w:r>
      <w:r>
        <w:t xml:space="preserve">[1]</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[1]</w:t>
      </w:r>
      <w:r>
        <w:t xml:space="preserve">, the LAGOSNE dataset</w:t>
      </w:r>
      <w:r>
        <w:t xml:space="preserve"> </w:t>
      </w:r>
      <w:r>
        <w:t xml:space="preserve">[2–4]</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kendalls-tau"/>
      <w:r>
        <w:t xml:space="preserve">Kendall’s Tau</w:t>
      </w:r>
      <w:bookmarkEnd w:id="28"/>
    </w:p>
    <w:p>
      <w:pPr>
        <w:pStyle w:val="FirstParagraph"/>
      </w:pPr>
      <w:r>
        <w:t xml:space="preserve">Kendall’s Tau and the Mann-Kendall test are commonly used to test for monotonic trends water quality data</w:t>
      </w:r>
      <w:r>
        <w:t xml:space="preserve"> </w:t>
      </w:r>
      <w:r>
        <w:t xml:space="preserve">[5–7]</w:t>
      </w:r>
      <w:r>
        <w:t xml:space="preserve">. We followed these standard procedures to test for postive or negative trends in lake temperature, chlorophyll</w:t>
      </w:r>
      <w:r>
        <w:t xml:space="preserve"> </w:t>
      </w:r>
      <w:r>
        <w:rPr>
          <w:i/>
        </w:rPr>
        <w:t xml:space="preserve">a</w:t>
      </w:r>
      <w:r>
        <w:t xml:space="preserve">, total nitrogen, and total phosphorus.</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[1]</w:t>
      </w:r>
      <w:r>
        <w:t xml:space="preserve">. The data we used in our analysis, the University of Rhode Island’s Watershed Watch data, was inlcuded in that, but we were curious if regional trends were masking local scale trends in Rhode Island. In addition to the analysis condcuted by Oliver et al.</w:t>
      </w:r>
      <w:r>
        <w:t xml:space="preserve"> </w:t>
      </w:r>
      <w:r>
        <w:t xml:space="preserve">[1]</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sampling period of 1990 to 2016 Rhode Island lakes and ponds average lake temperature was 22.08 celsius, average total nitrogen was 611.26 µg/l, average total phosphorus was 24.27 µg/l, and average chlorophyll was 10.08 µg/l (Table 1). For lakes in ponds in the larger region represented by the LAGOSNE States, average total nitrogen was 905.24 µg/l, average total phosphorus was 33.74 µg/l, and average chlorophyll was 17.71 µg/l (Table 2).</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left"/>
            </w:pPr>
            <w:r>
              <w:t xml:space="preserve">µg/l</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left"/>
            </w:pPr>
            <w:r>
              <w:t xml:space="preserve">µg/l</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BodyText"/>
      </w:pPr>
      <w:r>
        <w:rPr>
          <w:i/>
        </w:rPr>
        <w:t xml:space="preserve">Table 2: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370.0</w:t>
            </w:r>
          </w:p>
        </w:tc>
        <w:tc>
          <w:p>
            <w:pPr>
              <w:pStyle w:val="Compact"/>
              <w:jc w:val="right"/>
            </w:pPr>
            <w:r>
              <w:t xml:space="preserve">905.24</w:t>
            </w:r>
          </w:p>
        </w:tc>
        <w:tc>
          <w:p>
            <w:pPr>
              <w:pStyle w:val="Compact"/>
              <w:jc w:val="right"/>
            </w:pPr>
            <w:r>
              <w:t xml:space="preserve">609.0</w:t>
            </w:r>
          </w:p>
        </w:tc>
        <w:tc>
          <w:p>
            <w:pPr>
              <w:pStyle w:val="Compact"/>
              <w:jc w:val="right"/>
            </w:pPr>
            <w:r>
              <w:t xml:space="preserve">1000.0</w:t>
            </w:r>
          </w:p>
        </w:tc>
        <w:tc>
          <w:p>
            <w:pPr>
              <w:pStyle w:val="Compact"/>
              <w:jc w:val="right"/>
            </w:pPr>
            <w:r>
              <w:t xml:space="preserve">20574</w:t>
            </w:r>
          </w:p>
        </w:tc>
        <w:tc>
          <w:p>
            <w:pPr>
              <w:pStyle w:val="Compact"/>
              <w:jc w:val="right"/>
            </w:pPr>
            <w:r>
              <w:t xml:space="preserve">1220.94</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33.74</w:t>
            </w:r>
          </w:p>
        </w:tc>
        <w:tc>
          <w:p>
            <w:pPr>
              <w:pStyle w:val="Compact"/>
              <w:jc w:val="right"/>
            </w:pPr>
            <w:r>
              <w:t xml:space="preserve">16.0</w:t>
            </w:r>
          </w:p>
        </w:tc>
        <w:tc>
          <w:p>
            <w:pPr>
              <w:pStyle w:val="Compact"/>
              <w:jc w:val="right"/>
            </w:pPr>
            <w:r>
              <w:t xml:space="preserve">32.0</w:t>
            </w:r>
          </w:p>
        </w:tc>
        <w:tc>
          <w:p>
            <w:pPr>
              <w:pStyle w:val="Compact"/>
              <w:jc w:val="right"/>
            </w:pPr>
            <w:r>
              <w:t xml:space="preserve">1214</w:t>
            </w:r>
          </w:p>
        </w:tc>
        <w:tc>
          <w:p>
            <w:pPr>
              <w:pStyle w:val="Compact"/>
              <w:jc w:val="right"/>
            </w:pPr>
            <w:r>
              <w:t xml:space="preserve">59.86</w:t>
            </w:r>
          </w:p>
        </w:tc>
      </w:tr>
      <w:tr>
        <w:tc>
          <w:p>
            <w:pPr>
              <w:pStyle w:val="Compact"/>
              <w:jc w:val="left"/>
            </w:pPr>
            <w:r>
              <w:t xml:space="preserve">chla</w:t>
            </w:r>
          </w:p>
        </w:tc>
        <w:tc>
          <w:p>
            <w:pPr>
              <w:pStyle w:val="Compact"/>
              <w:jc w:val="left"/>
            </w:pPr>
            <w:r>
              <w:t xml:space="preserve">µg/l</w:t>
            </w:r>
          </w:p>
        </w:tc>
        <w:tc>
          <w:p>
            <w:pPr>
              <w:pStyle w:val="Compact"/>
              <w:jc w:val="right"/>
            </w:pPr>
            <w:r>
              <w:t xml:space="preserve">2.8</w:t>
            </w:r>
          </w:p>
        </w:tc>
        <w:tc>
          <w:p>
            <w:pPr>
              <w:pStyle w:val="Compact"/>
              <w:jc w:val="right"/>
            </w:pPr>
            <w:r>
              <w:t xml:space="preserve">17.71</w:t>
            </w:r>
          </w:p>
        </w:tc>
        <w:tc>
          <w:p>
            <w:pPr>
              <w:pStyle w:val="Compact"/>
              <w:jc w:val="right"/>
            </w:pPr>
            <w:r>
              <w:t xml:space="preserve">5.9</w:t>
            </w:r>
          </w:p>
        </w:tc>
        <w:tc>
          <w:p>
            <w:pPr>
              <w:pStyle w:val="Compact"/>
              <w:jc w:val="right"/>
            </w:pPr>
            <w:r>
              <w:t xml:space="preserve">16.6</w:t>
            </w:r>
          </w:p>
        </w:tc>
        <w:tc>
          <w:p>
            <w:pPr>
              <w:pStyle w:val="Compact"/>
              <w:jc w:val="right"/>
            </w:pPr>
            <w:r>
              <w:t xml:space="preserve">780</w:t>
            </w:r>
          </w:p>
        </w:tc>
        <w:tc>
          <w:p>
            <w:pPr>
              <w:pStyle w:val="Compact"/>
              <w:jc w:val="right"/>
            </w:pPr>
            <w:r>
              <w:t xml:space="preserve">36.00</w:t>
            </w:r>
          </w:p>
        </w:tc>
      </w:tr>
    </w:tbl>
    <w:p>
      <w:pPr>
        <w:pStyle w:val="Heading2"/>
      </w:pPr>
      <w:bookmarkStart w:id="31" w:name="state-wide-trends-in-water-quality"/>
      <w:r>
        <w:t xml:space="preserve">State-wide trends in water quality</w:t>
      </w:r>
      <w:bookmarkEnd w:id="31"/>
    </w:p>
    <w:p>
      <w:pPr>
        <w:pStyle w:val="FirstParagraph"/>
      </w:pPr>
      <w:r>
        <w:t xml:space="preserve">(Figure 2).</w:t>
      </w:r>
    </w:p>
    <w:p>
      <w:pPr>
        <w:pStyle w:val="BodyText"/>
      </w:pPr>
      <w:r>
        <w:rPr>
          <w:i/>
        </w:rPr>
        <w:t xml:space="preserve">Figure 2: Yearly trend over 20+ years of lake temperature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3: Yearly trend over 20+ years of Total Nitrogen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n_trends.jpg" id="0" name="Picture"/>
                    <pic:cNvPicPr>
                      <a:picLocks noChangeArrowheads="1" noChangeAspect="1"/>
                    </pic:cNvPicPr>
                  </pic:nvPicPr>
                  <pic:blipFill>
                    <a:blip r:embed="rId33"/>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4: Yearly trend over 20+ years of Total Phosphorus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p_trends.jpg" id="0" name="Picture"/>
                    <pic:cNvPicPr>
                      <a:picLocks noChangeArrowheads="1" noChangeAspect="1"/>
                    </pic:cNvPicPr>
                  </pic:nvPicPr>
                  <pic:blipFill>
                    <a:blip r:embed="rId34"/>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5: Yearly trend over 20+ years of Chlorphyll</w:t>
      </w:r>
      <w:r>
        <w:rPr>
          <w:i/>
        </w:rPr>
        <w:t xml:space="preserve"> </w:t>
      </w:r>
      <w:r>
        <w:t xml:space="preserve">a*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chla_trends.jpg" id="0" name="Picture"/>
                    <pic:cNvPicPr>
                      <a:picLocks noChangeArrowheads="1" noChangeAspect="1"/>
                    </pic:cNvPicPr>
                  </pic:nvPicPr>
                  <pic:blipFill>
                    <a:blip r:embed="rId35"/>
                    <a:stretch>
                      <a:fillRect/>
                    </a:stretch>
                  </pic:blipFill>
                  <pic:spPr bwMode="auto">
                    <a:xfrm>
                      <a:off x="0" y="0"/>
                      <a:ext cx="4572000" cy="3429000"/>
                    </a:xfrm>
                    <a:prstGeom prst="rect">
                      <a:avLst/>
                    </a:prstGeom>
                    <a:noFill/>
                    <a:ln w="9525">
                      <a:noFill/>
                      <a:headEnd/>
                      <a:tailEnd/>
                    </a:ln>
                  </pic:spPr>
                </pic:pic>
              </a:graphicData>
            </a:graphic>
          </wp:inline>
        </w:drawing>
      </w:r>
    </w:p>
    <w:p>
      <w:pPr>
        <w:pStyle w:val="Heading2"/>
      </w:pPr>
      <w:bookmarkStart w:id="36" w:name="regional-trends-in-water-quality"/>
      <w:r>
        <w:t xml:space="preserve">Regional trends in water quality</w:t>
      </w:r>
      <w:bookmarkEnd w:id="36"/>
    </w:p>
    <w:p>
      <w:pPr>
        <w:pStyle w:val="FirstParagraph"/>
      </w:pPr>
      <w:r>
        <w:rPr>
          <w:i/>
        </w:rPr>
        <w:t xml:space="preserve">Figure 6: Yearly trend over 20+ years of Total Nitrogen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7"/>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7: Yearly trend over 20+ years of Total Phosphorus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8: Yearly trend over 20+ years of Chlorophyll</w:t>
      </w:r>
      <w:r>
        <w:rPr>
          <w:i/>
        </w:rPr>
        <w:t xml:space="preserve"> </w:t>
      </w:r>
      <w:r>
        <w:t xml:space="preserve">a*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9"/>
                    <a:stretch>
                      <a:fillRect/>
                    </a:stretch>
                  </pic:blipFill>
                  <pic:spPr bwMode="auto">
                    <a:xfrm>
                      <a:off x="0" y="0"/>
                      <a:ext cx="4572000" cy="3429000"/>
                    </a:xfrm>
                    <a:prstGeom prst="rect">
                      <a:avLst/>
                    </a:prstGeom>
                    <a:noFill/>
                    <a:ln w="9525">
                      <a:noFill/>
                      <a:headEnd/>
                      <a:tailEnd/>
                    </a:ln>
                  </pic:spPr>
                </pic:pic>
              </a:graphicData>
            </a:graphic>
          </wp:inline>
        </w:drawing>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local-scale-vs-regionalglobal-scale"/>
      <w:r>
        <w:t xml:space="preserve">Local scale vs Regional/Global scale</w:t>
      </w:r>
      <w:bookmarkEnd w:id="42"/>
    </w:p>
    <w:p>
      <w:pPr>
        <w:pStyle w:val="Heading3"/>
      </w:pPr>
      <w:bookmarkStart w:id="43" w:name="ri-is-downstream---bryan-will-write"/>
      <w:r>
        <w:t xml:space="preserve">RI is downstream - Bryan will write</w:t>
      </w:r>
      <w:bookmarkEnd w:id="43"/>
    </w:p>
    <w:p>
      <w:pPr>
        <w:pStyle w:val="Heading2"/>
      </w:pPr>
      <w:bookmarkStart w:id="44" w:name="caveats"/>
      <w:r>
        <w:t xml:space="preserve">Caveats</w:t>
      </w:r>
      <w:bookmarkEnd w:id="44"/>
    </w:p>
    <w:p>
      <w:pPr>
        <w:pStyle w:val="Heading1"/>
      </w:pPr>
      <w:bookmarkStart w:id="45" w:name="bibliography"/>
      <w:r>
        <w:t xml:space="preserve">Bibliography</w:t>
      </w:r>
      <w:bookmarkEnd w:id="45"/>
    </w:p>
    <w:bookmarkStart w:id="55" w:name="refs"/>
    <w:bookmarkStart w:id="47" w:name="ref-Oliver_2017"/>
    <w:p>
      <w:pPr>
        <w:pStyle w:val="Bibliography"/>
      </w:pPr>
      <w:r>
        <w:t xml:space="preserve">1. Oliver SK, Collins SM, Soranno PA, Wagner T, Stanley EH, et al. (2017) Unexpected stasis in a changing world: Lake nutrient and chlorophyll trends since 1990. Global Change Biology 23: 5455–5467. Available:</w:t>
      </w:r>
      <w:r>
        <w:t xml:space="preserve"> </w:t>
      </w:r>
      <w:hyperlink r:id="rId46">
        <w:r>
          <w:rPr>
            <w:rStyle w:val="Hyperlink"/>
          </w:rPr>
          <w:t xml:space="preserve">https://doi.org/10.1111%2Fgcb.13810</w:t>
        </w:r>
      </w:hyperlink>
      <w:r>
        <w:t xml:space="preserve">.</w:t>
      </w:r>
    </w:p>
    <w:bookmarkEnd w:id="47"/>
    <w:bookmarkStart w:id="48" w:name="ref-soranno2015building"/>
    <w:p>
      <w:pPr>
        <w:pStyle w:val="Bibliography"/>
      </w:pPr>
      <w:r>
        <w:t xml:space="preserve">2. Soranno PA, Bissell EG, Cheruvelil KS, Christel ST, Collins SM, et al. (2015) Building a multi-scaled geospatial temporal ecology database from disparate data sources: Fostering open science and data reuse. GigaScience 4: 28.</w:t>
      </w:r>
    </w:p>
    <w:bookmarkEnd w:id="48"/>
    <w:bookmarkStart w:id="50" w:name="ref-stacheleklagosne2017"/>
    <w:p>
      <w:pPr>
        <w:pStyle w:val="Bibliography"/>
      </w:pPr>
      <w:r>
        <w:t xml:space="preserve">3. Stachelek J, Oliver S (2017) LAGOSNE: Interface to the lake multi-scaled geospatial and temporal database. Available:</w:t>
      </w:r>
      <w:r>
        <w:t xml:space="preserve"> </w:t>
      </w:r>
      <w:hyperlink r:id="rId49">
        <w:r>
          <w:rPr>
            <w:rStyle w:val="Hyperlink"/>
          </w:rPr>
          <w:t xml:space="preserve">https://cran.r-project.org/package=LAGOSNE</w:t>
        </w:r>
      </w:hyperlink>
      <w:r>
        <w:t xml:space="preserve">.</w:t>
      </w:r>
    </w:p>
    <w:bookmarkEnd w:id="50"/>
    <w:bookmarkStart w:id="51" w:name="ref-sorannolagosne2017"/>
    <w:p>
      <w:pPr>
        <w:pStyle w:val="Bibliography"/>
      </w:pPr>
      <w:r>
        <w:t xml:space="preserve">4. Soranno P, Bacon L, Beauchene M, Bednar K, Bissell E, et al. (2017) LAGOS-ne: A multi-scaled geospatial and temporal database of lake ecological context and water quality for thousands of us lakes. Gigascience 6.</w:t>
      </w:r>
    </w:p>
    <w:bookmarkEnd w:id="51"/>
    <w:bookmarkStart w:id="52" w:name="ref-mann1945nonparametric"/>
    <w:p>
      <w:pPr>
        <w:pStyle w:val="Bibliography"/>
      </w:pPr>
      <w:r>
        <w:t xml:space="preserve">5. Mann HB (1945) Nonparametric tests against trend. Econometrica: Journal of the Econometric Society: 245–259.</w:t>
      </w:r>
    </w:p>
    <w:bookmarkEnd w:id="52"/>
    <w:bookmarkStart w:id="53" w:name="ref-helsel2002statistical"/>
    <w:p>
      <w:pPr>
        <w:pStyle w:val="Bibliography"/>
      </w:pPr>
      <w:r>
        <w:t xml:space="preserve">6. Helsel DR, Hirsch RM (2002) Statistical methods in water resources. US Geological survey Reston, VA, Vol. 323.</w:t>
      </w:r>
    </w:p>
    <w:bookmarkEnd w:id="53"/>
    <w:bookmarkStart w:id="54" w:name="ref-hipel1994time"/>
    <w:p>
      <w:pPr>
        <w:pStyle w:val="Bibliography"/>
      </w:pPr>
      <w:r>
        <w:t xml:space="preserve">7. Hipel KW, McLeod AI (1994) Time series modelling of water resources and environmental systems. Elsevier.</w:t>
      </w:r>
    </w:p>
    <w:bookmarkEnd w:id="54"/>
    <w:bookmarkEnd w:id="55"/>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26 Years of Water Quality Change in Rhode Island Lakes and Ponds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2019-01-29T20:38:17Z</dcterms:created>
  <dcterms:modified xsi:type="dcterms:W3CDTF">2019-01-29T20:38:17Z</dcterms:modified>
</cp:coreProperties>
</file>