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ABC6" w14:textId="65A88ACB" w:rsidR="00406876" w:rsidRDefault="0040295E" w:rsidP="0040295E">
      <w:pPr>
        <w:pStyle w:val="Heading1"/>
      </w:pPr>
      <w:r>
        <w:t>U.S. EPA 2017 Air Trends Report Methodologies</w:t>
      </w:r>
    </w:p>
    <w:p w14:paraId="35011489" w14:textId="61A47268" w:rsidR="0040295E" w:rsidRDefault="0040295E" w:rsidP="0034052A"/>
    <w:p w14:paraId="7CC5E335" w14:textId="50D37F7B" w:rsidR="002B72E4" w:rsidRDefault="002B72E4" w:rsidP="002B72E4">
      <w:pPr>
        <w:pStyle w:val="Heading2"/>
      </w:pPr>
      <w:r>
        <w:t>Overview</w:t>
      </w:r>
    </w:p>
    <w:p w14:paraId="016B3A00" w14:textId="21F4FBA0" w:rsidR="002B72E4" w:rsidRDefault="002B72E4" w:rsidP="002B72E4">
      <w:r>
        <w:t xml:space="preserve">EPA maintains an annual air trends report in the form of an interactive web application (ex. </w:t>
      </w:r>
      <w:hyperlink r:id="rId8" w:history="1">
        <w:r w:rsidRPr="00BC017B">
          <w:rPr>
            <w:rStyle w:val="Hyperlink"/>
          </w:rPr>
          <w:t>https://gispub.epa.gov/air/trendsreport/2016/</w:t>
        </w:r>
      </w:hyperlink>
      <w:r>
        <w:t>). The online report features a suite of visualization tools that allow the user to:</w:t>
      </w:r>
    </w:p>
    <w:p w14:paraId="099CC93A" w14:textId="77777777" w:rsidR="002B72E4" w:rsidRDefault="002B72E4" w:rsidP="002B72E4"/>
    <w:p w14:paraId="5EE06487" w14:textId="77777777" w:rsidR="002B72E4" w:rsidRDefault="002B72E4" w:rsidP="002B72E4">
      <w:pPr>
        <w:pStyle w:val="ListParagraph"/>
        <w:numPr>
          <w:ilvl w:val="0"/>
          <w:numId w:val="1"/>
        </w:numPr>
      </w:pPr>
      <w:r>
        <w:t>Learn about air pollution and how it can affect our health and environment.</w:t>
      </w:r>
    </w:p>
    <w:p w14:paraId="617D65B2" w14:textId="77777777" w:rsidR="002B72E4" w:rsidRDefault="002B72E4" w:rsidP="002B72E4">
      <w:pPr>
        <w:pStyle w:val="ListParagraph"/>
        <w:numPr>
          <w:ilvl w:val="0"/>
          <w:numId w:val="1"/>
        </w:numPr>
      </w:pPr>
      <w:r>
        <w:t>Compare key air emissions to gross domestic product, vehicle miles traveled, population, and energy consumption back to 1970.</w:t>
      </w:r>
    </w:p>
    <w:p w14:paraId="22B34D4F" w14:textId="77777777" w:rsidR="002B72E4" w:rsidRDefault="002B72E4" w:rsidP="002B72E4">
      <w:pPr>
        <w:pStyle w:val="ListParagraph"/>
        <w:numPr>
          <w:ilvl w:val="0"/>
          <w:numId w:val="1"/>
        </w:numPr>
      </w:pPr>
      <w:r>
        <w:t>Take a closer look at how the number of days with unhealthy air has dropped since 2000 in 35 major US cities.</w:t>
      </w:r>
    </w:p>
    <w:p w14:paraId="53A99BE7" w14:textId="64A25C49" w:rsidR="002B72E4" w:rsidRDefault="002B72E4" w:rsidP="002B72E4">
      <w:pPr>
        <w:pStyle w:val="ListParagraph"/>
        <w:numPr>
          <w:ilvl w:val="0"/>
          <w:numId w:val="1"/>
        </w:numPr>
      </w:pPr>
      <w:r>
        <w:t>Explore how air quality and emissions have changed over time for each of the common air pollutants.</w:t>
      </w:r>
    </w:p>
    <w:p w14:paraId="2CCEBC58" w14:textId="77777777" w:rsidR="002B72E4" w:rsidRDefault="002B72E4" w:rsidP="002B72E4">
      <w:pPr>
        <w:pStyle w:val="ListParagraph"/>
        <w:numPr>
          <w:ilvl w:val="0"/>
          <w:numId w:val="1"/>
        </w:numPr>
      </w:pPr>
      <w:r>
        <w:t>Check out air trends where you live.</w:t>
      </w:r>
    </w:p>
    <w:p w14:paraId="796952BA" w14:textId="77777777" w:rsidR="002B72E4" w:rsidRDefault="002B72E4" w:rsidP="002B72E4"/>
    <w:p w14:paraId="38A40440" w14:textId="5FEF5447" w:rsidR="002B72E4" w:rsidRDefault="002B72E4" w:rsidP="002B72E4">
      <w:r>
        <w:t>Users are also able to share this content across social media, with one-click access to Facebook, Twitter, Pinterest, and other major social media sites. Data, source code and documentation</w:t>
      </w:r>
      <w:r w:rsidR="00016243">
        <w:t xml:space="preserve">, including this document, </w:t>
      </w:r>
      <w:r>
        <w:t xml:space="preserve">are available for download at the air trends report GitHub repository </w:t>
      </w:r>
      <w:hyperlink r:id="rId9" w:history="1">
        <w:r w:rsidRPr="00BC017B">
          <w:rPr>
            <w:rStyle w:val="Hyperlink"/>
          </w:rPr>
          <w:t>https://github.com/USEPA/Air-Trends-Report</w:t>
        </w:r>
      </w:hyperlink>
      <w:r>
        <w:t xml:space="preserve">. </w:t>
      </w:r>
    </w:p>
    <w:p w14:paraId="539E6AAE" w14:textId="77777777" w:rsidR="002B72E4" w:rsidRDefault="002B72E4" w:rsidP="002B72E4"/>
    <w:p w14:paraId="31478FE3" w14:textId="7E0081F8" w:rsidR="002B72E4" w:rsidRDefault="002B72E4" w:rsidP="002B72E4">
      <w:r>
        <w:t xml:space="preserve">This document details the </w:t>
      </w:r>
      <w:r w:rsidR="00016243">
        <w:t>methodologies</w:t>
      </w:r>
      <w:r>
        <w:t xml:space="preserve"> used </w:t>
      </w:r>
      <w:r w:rsidR="00016243">
        <w:t xml:space="preserve">in compiling the </w:t>
      </w:r>
      <w:r>
        <w:t>National Ambient Air Quality Standards (NAAQS), PM</w:t>
      </w:r>
      <w:r w:rsidRPr="002B72E4">
        <w:rPr>
          <w:vertAlign w:val="subscript"/>
        </w:rPr>
        <w:t xml:space="preserve">2.5 </w:t>
      </w:r>
      <w:r>
        <w:t xml:space="preserve">speciation, visibility and toxics </w:t>
      </w:r>
      <w:r w:rsidR="00016243">
        <w:t xml:space="preserve">trends </w:t>
      </w:r>
      <w:r>
        <w:t>data found in the online annual air trends report.</w:t>
      </w:r>
    </w:p>
    <w:p w14:paraId="7BFCDCF8" w14:textId="2EB618D8" w:rsidR="002B72E4" w:rsidRDefault="002B72E4" w:rsidP="002B72E4"/>
    <w:p w14:paraId="1AE3EEF6" w14:textId="21A5D151" w:rsidR="002B72E4" w:rsidRDefault="00F90487" w:rsidP="00F90487">
      <w:pPr>
        <w:pStyle w:val="Heading3"/>
      </w:pPr>
      <w:r>
        <w:t>National Ambient Ai</w:t>
      </w:r>
      <w:r w:rsidR="005B65CA">
        <w:t>r Quality Standards (NAAQS) Data</w:t>
      </w:r>
    </w:p>
    <w:p w14:paraId="7D84CC24" w14:textId="77777777" w:rsidR="00025807" w:rsidRDefault="00025807" w:rsidP="00025807">
      <w:pPr>
        <w:pStyle w:val="Heading4"/>
      </w:pPr>
      <w:r>
        <w:t>Methodology for assessing trends in criteria pollutant concentrations</w:t>
      </w:r>
    </w:p>
    <w:p w14:paraId="60B4A705" w14:textId="46563624" w:rsidR="003D50DD" w:rsidRDefault="003D50DD" w:rsidP="003D50DD">
      <w:pPr>
        <w:pStyle w:val="ListParagraph"/>
        <w:numPr>
          <w:ilvl w:val="0"/>
          <w:numId w:val="5"/>
        </w:numPr>
      </w:pPr>
      <w:r>
        <w:t xml:space="preserve">Query the EPA's Air Quality System (AQS) for the relevant summary statistics for each criteria pollutant, along with any information necessary for assessing annual completeness. Include data flagged as exceptional events.  PM2.5 is stored under multiple parameter codes in AQS - for trends purposes, query only the Federal Reference and Equivalent Method data (parameter code 88101 in AQS).  </w:t>
      </w:r>
    </w:p>
    <w:p w14:paraId="715BD26F" w14:textId="66D4A15D" w:rsidR="00025807" w:rsidRDefault="003D50DD" w:rsidP="003D50DD">
      <w:pPr>
        <w:pStyle w:val="ListParagraph"/>
        <w:numPr>
          <w:ilvl w:val="0"/>
          <w:numId w:val="5"/>
        </w:numPr>
      </w:pPr>
      <w:r>
        <w:t>Assess completeness of the annual summary statistic. Valid years must meet the following criteria</w:t>
      </w:r>
      <w:r w:rsidR="00F32B0A">
        <w:t>:</w:t>
      </w:r>
    </w:p>
    <w:tbl>
      <w:tblPr>
        <w:tblStyle w:val="TableGrid"/>
        <w:tblW w:w="0" w:type="auto"/>
        <w:tblInd w:w="715" w:type="dxa"/>
        <w:tblLook w:val="01E0" w:firstRow="1" w:lastRow="1" w:firstColumn="1" w:lastColumn="1" w:noHBand="0" w:noVBand="0"/>
      </w:tblPr>
      <w:tblGrid>
        <w:gridCol w:w="1080"/>
        <w:gridCol w:w="4073"/>
        <w:gridCol w:w="2970"/>
      </w:tblGrid>
      <w:tr w:rsidR="003D50DD" w:rsidRPr="003D50DD" w14:paraId="7AF683BB" w14:textId="77777777" w:rsidTr="00F32B0A">
        <w:tc>
          <w:tcPr>
            <w:tcW w:w="1080" w:type="dxa"/>
            <w:vAlign w:val="center"/>
          </w:tcPr>
          <w:p w14:paraId="77508719"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Pollutant</w:t>
            </w:r>
          </w:p>
        </w:tc>
        <w:tc>
          <w:tcPr>
            <w:tcW w:w="4073" w:type="dxa"/>
            <w:vAlign w:val="center"/>
          </w:tcPr>
          <w:p w14:paraId="675BD4B3" w14:textId="77777777" w:rsidR="003D50DD" w:rsidRPr="003D50DD" w:rsidRDefault="003D50DD" w:rsidP="00F32B0A">
            <w:pPr>
              <w:jc w:val="center"/>
              <w:rPr>
                <w:rFonts w:asciiTheme="minorHAnsi" w:hAnsiTheme="minorHAnsi" w:cstheme="minorHAnsi"/>
                <w:b/>
                <w:sz w:val="22"/>
              </w:rPr>
            </w:pPr>
            <w:r w:rsidRPr="003D50DD">
              <w:rPr>
                <w:rFonts w:asciiTheme="minorHAnsi" w:hAnsiTheme="minorHAnsi" w:cstheme="minorHAnsi"/>
                <w:b/>
                <w:sz w:val="22"/>
              </w:rPr>
              <w:t>Annual Summary Statistic</w:t>
            </w:r>
          </w:p>
        </w:tc>
        <w:tc>
          <w:tcPr>
            <w:tcW w:w="2970" w:type="dxa"/>
            <w:vAlign w:val="center"/>
          </w:tcPr>
          <w:p w14:paraId="48FBB25D" w14:textId="77777777" w:rsidR="003D50DD" w:rsidRPr="003D50DD" w:rsidRDefault="003D50DD" w:rsidP="00F32B0A">
            <w:pPr>
              <w:widowControl w:val="0"/>
              <w:jc w:val="center"/>
              <w:rPr>
                <w:rFonts w:asciiTheme="minorHAnsi" w:hAnsiTheme="minorHAnsi" w:cstheme="minorHAnsi"/>
                <w:b/>
                <w:sz w:val="22"/>
              </w:rPr>
            </w:pPr>
            <w:r w:rsidRPr="003D50DD">
              <w:rPr>
                <w:rFonts w:asciiTheme="minorHAnsi" w:hAnsiTheme="minorHAnsi" w:cstheme="minorHAnsi"/>
                <w:b/>
                <w:sz w:val="22"/>
              </w:rPr>
              <w:t>Completeness Criteria</w:t>
            </w:r>
          </w:p>
        </w:tc>
      </w:tr>
      <w:tr w:rsidR="003D50DD" w:rsidRPr="003D50DD" w14:paraId="6F695E8C" w14:textId="77777777" w:rsidTr="00F32B0A">
        <w:tc>
          <w:tcPr>
            <w:tcW w:w="1080" w:type="dxa"/>
            <w:vAlign w:val="center"/>
          </w:tcPr>
          <w:p w14:paraId="5E2896FE"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CO</w:t>
            </w:r>
          </w:p>
        </w:tc>
        <w:tc>
          <w:tcPr>
            <w:tcW w:w="4073" w:type="dxa"/>
            <w:vAlign w:val="center"/>
          </w:tcPr>
          <w:p w14:paraId="5635641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Second max non-overlapping 8-hour concentration, ppm</w:t>
            </w:r>
          </w:p>
        </w:tc>
        <w:tc>
          <w:tcPr>
            <w:tcW w:w="2970" w:type="dxa"/>
            <w:vAlign w:val="center"/>
          </w:tcPr>
          <w:p w14:paraId="594CB930"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3285 hourly </w:t>
            </w:r>
            <w:proofErr w:type="spellStart"/>
            <w:r w:rsidRPr="003D50DD">
              <w:rPr>
                <w:rFonts w:asciiTheme="minorHAnsi" w:hAnsiTheme="minorHAnsi" w:cstheme="minorHAnsi"/>
              </w:rPr>
              <w:t>obs</w:t>
            </w:r>
            <w:proofErr w:type="spellEnd"/>
          </w:p>
        </w:tc>
      </w:tr>
      <w:tr w:rsidR="003D50DD" w:rsidRPr="003D50DD" w14:paraId="14DF0E85" w14:textId="77777777" w:rsidTr="00F32B0A">
        <w:tc>
          <w:tcPr>
            <w:tcW w:w="1080" w:type="dxa"/>
            <w:vAlign w:val="center"/>
          </w:tcPr>
          <w:p w14:paraId="385D0138" w14:textId="77777777" w:rsidR="003D50DD" w:rsidRPr="003D50DD" w:rsidRDefault="003D50DD" w:rsidP="00F32B0A">
            <w:pPr>
              <w:widowControl w:val="0"/>
              <w:jc w:val="center"/>
              <w:rPr>
                <w:rFonts w:asciiTheme="minorHAnsi" w:hAnsiTheme="minorHAnsi" w:cstheme="minorHAnsi"/>
              </w:rPr>
            </w:pPr>
            <w:proofErr w:type="spellStart"/>
            <w:r w:rsidRPr="003D50DD">
              <w:rPr>
                <w:rFonts w:asciiTheme="minorHAnsi" w:hAnsiTheme="minorHAnsi" w:cstheme="minorHAnsi"/>
              </w:rPr>
              <w:t>Pb</w:t>
            </w:r>
            <w:proofErr w:type="spellEnd"/>
          </w:p>
        </w:tc>
        <w:tc>
          <w:tcPr>
            <w:tcW w:w="4073" w:type="dxa"/>
            <w:vAlign w:val="center"/>
          </w:tcPr>
          <w:p w14:paraId="63048B99"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Max rolling 3-month average concentration, </w:t>
            </w:r>
            <w:proofErr w:type="spellStart"/>
            <w:r w:rsidRPr="003D50DD">
              <w:rPr>
                <w:rFonts w:asciiTheme="minorHAnsi" w:hAnsiTheme="minorHAnsi" w:cstheme="minorHAnsi"/>
              </w:rPr>
              <w:t>ug</w:t>
            </w:r>
            <w:proofErr w:type="spellEnd"/>
            <w:r w:rsidRPr="003D50DD">
              <w:rPr>
                <w:rFonts w:asciiTheme="minorHAnsi" w:hAnsiTheme="minorHAnsi" w:cstheme="minorHAnsi"/>
              </w:rPr>
              <w:t>/m3</w:t>
            </w:r>
          </w:p>
        </w:tc>
        <w:tc>
          <w:tcPr>
            <w:tcW w:w="2970" w:type="dxa"/>
            <w:vAlign w:val="center"/>
          </w:tcPr>
          <w:p w14:paraId="406C46A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9 valid rolling 3-month averages in the year</w:t>
            </w:r>
          </w:p>
        </w:tc>
      </w:tr>
      <w:tr w:rsidR="003D50DD" w:rsidRPr="003D50DD" w14:paraId="27EB3FB6" w14:textId="77777777" w:rsidTr="00F32B0A">
        <w:tc>
          <w:tcPr>
            <w:tcW w:w="1080" w:type="dxa"/>
            <w:vMerge w:val="restart"/>
            <w:vAlign w:val="center"/>
          </w:tcPr>
          <w:p w14:paraId="4C3CD158"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NO2</w:t>
            </w:r>
          </w:p>
        </w:tc>
        <w:tc>
          <w:tcPr>
            <w:tcW w:w="4073" w:type="dxa"/>
            <w:vAlign w:val="center"/>
          </w:tcPr>
          <w:p w14:paraId="5437EC5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Arithmetic mean concentration, ppb</w:t>
            </w:r>
          </w:p>
        </w:tc>
        <w:tc>
          <w:tcPr>
            <w:tcW w:w="2970" w:type="dxa"/>
            <w:vAlign w:val="center"/>
          </w:tcPr>
          <w:p w14:paraId="0071C6F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4380 hourly </w:t>
            </w:r>
            <w:proofErr w:type="spellStart"/>
            <w:r w:rsidRPr="003D50DD">
              <w:rPr>
                <w:rFonts w:asciiTheme="minorHAnsi" w:hAnsiTheme="minorHAnsi" w:cstheme="minorHAnsi"/>
              </w:rPr>
              <w:t>obs</w:t>
            </w:r>
            <w:proofErr w:type="spellEnd"/>
          </w:p>
        </w:tc>
      </w:tr>
      <w:tr w:rsidR="003D50DD" w:rsidRPr="003D50DD" w14:paraId="43E24336" w14:textId="77777777" w:rsidTr="00F32B0A">
        <w:tc>
          <w:tcPr>
            <w:tcW w:w="1080" w:type="dxa"/>
            <w:vMerge/>
            <w:vAlign w:val="center"/>
          </w:tcPr>
          <w:p w14:paraId="06F7E943" w14:textId="77777777" w:rsidR="003D50DD" w:rsidRPr="003D50DD" w:rsidRDefault="003D50DD" w:rsidP="00F32B0A">
            <w:pPr>
              <w:widowControl w:val="0"/>
              <w:jc w:val="center"/>
              <w:rPr>
                <w:rFonts w:asciiTheme="minorHAnsi" w:hAnsiTheme="minorHAnsi" w:cstheme="minorHAnsi"/>
              </w:rPr>
            </w:pPr>
          </w:p>
        </w:tc>
        <w:tc>
          <w:tcPr>
            <w:tcW w:w="4073" w:type="dxa"/>
            <w:vAlign w:val="center"/>
          </w:tcPr>
          <w:p w14:paraId="6FBC5A89"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98</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7EA1BE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5B3CBB1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r w:rsidR="003D50DD" w:rsidRPr="003D50DD" w14:paraId="09FF7170" w14:textId="77777777" w:rsidTr="00F32B0A">
        <w:trPr>
          <w:trHeight w:val="135"/>
        </w:trPr>
        <w:tc>
          <w:tcPr>
            <w:tcW w:w="1080" w:type="dxa"/>
            <w:vAlign w:val="center"/>
          </w:tcPr>
          <w:p w14:paraId="5A3950FF"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Ozone</w:t>
            </w:r>
          </w:p>
        </w:tc>
        <w:tc>
          <w:tcPr>
            <w:tcW w:w="4073" w:type="dxa"/>
            <w:vAlign w:val="center"/>
          </w:tcPr>
          <w:p w14:paraId="63E5336E"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Fourth highest of daily max 8-hour concentrations, ppm</w:t>
            </w:r>
          </w:p>
        </w:tc>
        <w:tc>
          <w:tcPr>
            <w:tcW w:w="2970" w:type="dxa"/>
            <w:shd w:val="clear" w:color="auto" w:fill="auto"/>
            <w:vAlign w:val="center"/>
          </w:tcPr>
          <w:p w14:paraId="6AF2F945"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50% of the hourly </w:t>
            </w:r>
            <w:proofErr w:type="spellStart"/>
            <w:r w:rsidRPr="003D50DD">
              <w:rPr>
                <w:rFonts w:asciiTheme="minorHAnsi" w:hAnsiTheme="minorHAnsi" w:cstheme="minorHAnsi"/>
              </w:rPr>
              <w:t>obs</w:t>
            </w:r>
            <w:proofErr w:type="spellEnd"/>
          </w:p>
          <w:p w14:paraId="0651C501"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w:t>
            </w:r>
            <w:proofErr w:type="spellStart"/>
            <w:r w:rsidRPr="003D50DD">
              <w:rPr>
                <w:rFonts w:asciiTheme="minorHAnsi" w:hAnsiTheme="minorHAnsi" w:cstheme="minorHAnsi"/>
              </w:rPr>
              <w:t>annual_obs_pct</w:t>
            </w:r>
            <w:proofErr w:type="spellEnd"/>
            <w:r w:rsidRPr="003D50DD">
              <w:rPr>
                <w:rFonts w:asciiTheme="minorHAnsi" w:hAnsiTheme="minorHAnsi" w:cstheme="minorHAnsi"/>
              </w:rPr>
              <w:t xml:space="preserve"> &gt;= 50%)</w:t>
            </w:r>
          </w:p>
        </w:tc>
      </w:tr>
      <w:tr w:rsidR="003D50DD" w:rsidRPr="003D50DD" w14:paraId="438111B2" w14:textId="77777777" w:rsidTr="00F32B0A">
        <w:trPr>
          <w:trHeight w:val="135"/>
        </w:trPr>
        <w:tc>
          <w:tcPr>
            <w:tcW w:w="1080" w:type="dxa"/>
            <w:vAlign w:val="center"/>
          </w:tcPr>
          <w:p w14:paraId="27AF8066"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PM10</w:t>
            </w:r>
          </w:p>
        </w:tc>
        <w:tc>
          <w:tcPr>
            <w:tcW w:w="4073" w:type="dxa"/>
            <w:vAlign w:val="center"/>
          </w:tcPr>
          <w:p w14:paraId="12DD9110"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Second max 24-hour concentration, </w:t>
            </w:r>
            <w:proofErr w:type="spellStart"/>
            <w:r w:rsidRPr="003D50DD">
              <w:rPr>
                <w:rFonts w:asciiTheme="minorHAnsi" w:hAnsiTheme="minorHAnsi" w:cstheme="minorHAnsi"/>
              </w:rPr>
              <w:t>ug</w:t>
            </w:r>
            <w:proofErr w:type="spellEnd"/>
            <w:r w:rsidRPr="003D50DD">
              <w:rPr>
                <w:rFonts w:asciiTheme="minorHAnsi" w:hAnsiTheme="minorHAnsi" w:cstheme="minorHAnsi"/>
              </w:rPr>
              <w:t>/m3</w:t>
            </w:r>
          </w:p>
        </w:tc>
        <w:tc>
          <w:tcPr>
            <w:tcW w:w="2970" w:type="dxa"/>
            <w:vAlign w:val="center"/>
          </w:tcPr>
          <w:p w14:paraId="5912DBA4"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30 daily </w:t>
            </w:r>
            <w:proofErr w:type="spellStart"/>
            <w:r w:rsidRPr="003D50DD">
              <w:rPr>
                <w:rFonts w:asciiTheme="minorHAnsi" w:hAnsiTheme="minorHAnsi" w:cstheme="minorHAnsi"/>
              </w:rPr>
              <w:t>obs</w:t>
            </w:r>
            <w:proofErr w:type="spellEnd"/>
          </w:p>
        </w:tc>
      </w:tr>
      <w:tr w:rsidR="003D50DD" w:rsidRPr="003D50DD" w14:paraId="47805BD9" w14:textId="77777777" w:rsidTr="00F32B0A">
        <w:trPr>
          <w:trHeight w:val="136"/>
        </w:trPr>
        <w:tc>
          <w:tcPr>
            <w:tcW w:w="1080" w:type="dxa"/>
            <w:vMerge w:val="restart"/>
            <w:vAlign w:val="center"/>
          </w:tcPr>
          <w:p w14:paraId="4990C1D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PM2.5</w:t>
            </w:r>
          </w:p>
        </w:tc>
        <w:tc>
          <w:tcPr>
            <w:tcW w:w="4073" w:type="dxa"/>
            <w:vAlign w:val="center"/>
          </w:tcPr>
          <w:p w14:paraId="516834D5"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Weighted annual mean concentration, </w:t>
            </w:r>
            <w:proofErr w:type="spellStart"/>
            <w:r w:rsidRPr="003D50DD">
              <w:rPr>
                <w:rFonts w:asciiTheme="minorHAnsi" w:hAnsiTheme="minorHAnsi" w:cstheme="minorHAnsi"/>
              </w:rPr>
              <w:t>ug</w:t>
            </w:r>
            <w:proofErr w:type="spellEnd"/>
            <w:r w:rsidRPr="003D50DD">
              <w:rPr>
                <w:rFonts w:asciiTheme="minorHAnsi" w:hAnsiTheme="minorHAnsi" w:cstheme="minorHAnsi"/>
              </w:rPr>
              <w:t>/m3</w:t>
            </w:r>
          </w:p>
        </w:tc>
        <w:tc>
          <w:tcPr>
            <w:tcW w:w="2970" w:type="dxa"/>
            <w:shd w:val="clear" w:color="auto" w:fill="auto"/>
            <w:vAlign w:val="center"/>
          </w:tcPr>
          <w:p w14:paraId="25BFBB47"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&gt;=11 daily </w:t>
            </w:r>
            <w:proofErr w:type="spellStart"/>
            <w:r w:rsidRPr="003D50DD">
              <w:rPr>
                <w:rFonts w:asciiTheme="minorHAnsi" w:hAnsiTheme="minorHAnsi" w:cstheme="minorHAnsi"/>
              </w:rPr>
              <w:t>obs</w:t>
            </w:r>
            <w:proofErr w:type="spellEnd"/>
            <w:r w:rsidRPr="003D50DD">
              <w:rPr>
                <w:rFonts w:asciiTheme="minorHAnsi" w:hAnsiTheme="minorHAnsi" w:cstheme="minorHAnsi"/>
              </w:rPr>
              <w:t xml:space="preserve"> for all 4 calendar quarters</w:t>
            </w:r>
          </w:p>
        </w:tc>
      </w:tr>
      <w:tr w:rsidR="003D50DD" w:rsidRPr="003D50DD" w14:paraId="7465BA4D" w14:textId="77777777" w:rsidTr="00F32B0A">
        <w:trPr>
          <w:trHeight w:val="135"/>
        </w:trPr>
        <w:tc>
          <w:tcPr>
            <w:tcW w:w="1080" w:type="dxa"/>
            <w:vMerge/>
            <w:vAlign w:val="center"/>
          </w:tcPr>
          <w:p w14:paraId="2250717F" w14:textId="77777777" w:rsidR="003D50DD" w:rsidRPr="003D50DD" w:rsidRDefault="003D50DD" w:rsidP="00F32B0A">
            <w:pPr>
              <w:widowControl w:val="0"/>
              <w:jc w:val="center"/>
              <w:rPr>
                <w:rFonts w:asciiTheme="minorHAnsi" w:hAnsiTheme="minorHAnsi" w:cstheme="minorHAnsi"/>
              </w:rPr>
            </w:pPr>
          </w:p>
        </w:tc>
        <w:tc>
          <w:tcPr>
            <w:tcW w:w="4073" w:type="dxa"/>
            <w:tcBorders>
              <w:bottom w:val="single" w:sz="4" w:space="0" w:color="auto"/>
            </w:tcBorders>
            <w:vAlign w:val="center"/>
          </w:tcPr>
          <w:p w14:paraId="031ECA91"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 xml:space="preserve">98th percentile 24-hour concentration, </w:t>
            </w:r>
            <w:proofErr w:type="spellStart"/>
            <w:r w:rsidRPr="003D50DD">
              <w:rPr>
                <w:rFonts w:asciiTheme="minorHAnsi" w:hAnsiTheme="minorHAnsi" w:cstheme="minorHAnsi"/>
              </w:rPr>
              <w:t>ug</w:t>
            </w:r>
            <w:proofErr w:type="spellEnd"/>
            <w:r w:rsidRPr="003D50DD">
              <w:rPr>
                <w:rFonts w:asciiTheme="minorHAnsi" w:hAnsiTheme="minorHAnsi" w:cstheme="minorHAnsi"/>
              </w:rPr>
              <w:t>/m3</w:t>
            </w:r>
          </w:p>
        </w:tc>
        <w:tc>
          <w:tcPr>
            <w:tcW w:w="2970" w:type="dxa"/>
            <w:tcBorders>
              <w:bottom w:val="single" w:sz="4" w:space="0" w:color="auto"/>
            </w:tcBorders>
            <w:shd w:val="clear" w:color="auto" w:fill="auto"/>
            <w:vAlign w:val="center"/>
          </w:tcPr>
          <w:p w14:paraId="4F4DBD58"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&gt;=11 daily </w:t>
            </w:r>
            <w:proofErr w:type="spellStart"/>
            <w:r w:rsidRPr="003D50DD">
              <w:rPr>
                <w:rFonts w:asciiTheme="minorHAnsi" w:hAnsiTheme="minorHAnsi" w:cstheme="minorHAnsi"/>
              </w:rPr>
              <w:t>obs</w:t>
            </w:r>
            <w:proofErr w:type="spellEnd"/>
            <w:r w:rsidRPr="003D50DD">
              <w:rPr>
                <w:rFonts w:asciiTheme="minorHAnsi" w:hAnsiTheme="minorHAnsi" w:cstheme="minorHAnsi"/>
              </w:rPr>
              <w:t xml:space="preserve"> for all 4 calendar quarters</w:t>
            </w:r>
          </w:p>
        </w:tc>
      </w:tr>
      <w:tr w:rsidR="003D50DD" w:rsidRPr="003D50DD" w14:paraId="12EBA5AA" w14:textId="77777777" w:rsidTr="00F32B0A">
        <w:tc>
          <w:tcPr>
            <w:tcW w:w="1080" w:type="dxa"/>
            <w:vAlign w:val="center"/>
          </w:tcPr>
          <w:p w14:paraId="7DA90AF0" w14:textId="77777777" w:rsidR="003D50DD" w:rsidRPr="003D50DD" w:rsidRDefault="003D50DD" w:rsidP="00F32B0A">
            <w:pPr>
              <w:widowControl w:val="0"/>
              <w:jc w:val="center"/>
              <w:rPr>
                <w:rFonts w:asciiTheme="minorHAnsi" w:hAnsiTheme="minorHAnsi" w:cstheme="minorHAnsi"/>
              </w:rPr>
            </w:pPr>
            <w:r w:rsidRPr="003D50DD">
              <w:rPr>
                <w:rFonts w:asciiTheme="minorHAnsi" w:hAnsiTheme="minorHAnsi" w:cstheme="minorHAnsi"/>
              </w:rPr>
              <w:t>SO2</w:t>
            </w:r>
          </w:p>
        </w:tc>
        <w:tc>
          <w:tcPr>
            <w:tcW w:w="4073" w:type="dxa"/>
            <w:vAlign w:val="center"/>
          </w:tcPr>
          <w:p w14:paraId="591599D7" w14:textId="77777777" w:rsidR="003D50DD" w:rsidRPr="003D50DD" w:rsidRDefault="003D50DD" w:rsidP="00F32B0A">
            <w:pPr>
              <w:rPr>
                <w:rFonts w:asciiTheme="minorHAnsi" w:hAnsiTheme="minorHAnsi" w:cstheme="minorHAnsi"/>
              </w:rPr>
            </w:pPr>
            <w:r w:rsidRPr="003D50DD">
              <w:rPr>
                <w:rFonts w:asciiTheme="minorHAnsi" w:hAnsiTheme="minorHAnsi" w:cstheme="minorHAnsi"/>
              </w:rPr>
              <w:t>99</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14:paraId="2CBBA24D"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&gt;= 75% hours in a day</w:t>
            </w:r>
          </w:p>
          <w:p w14:paraId="354E2B9B" w14:textId="77777777" w:rsidR="003D50DD" w:rsidRPr="003D50DD" w:rsidRDefault="003D50DD" w:rsidP="00F32B0A">
            <w:pPr>
              <w:widowControl w:val="0"/>
              <w:rPr>
                <w:rFonts w:asciiTheme="minorHAnsi" w:hAnsiTheme="minorHAnsi" w:cstheme="minorHAnsi"/>
              </w:rPr>
            </w:pPr>
            <w:r w:rsidRPr="003D50DD">
              <w:rPr>
                <w:rFonts w:asciiTheme="minorHAnsi" w:hAnsiTheme="minorHAnsi" w:cstheme="minorHAnsi"/>
              </w:rPr>
              <w:t xml:space="preserve">&gt;= 75% days in a </w:t>
            </w:r>
            <w:proofErr w:type="spellStart"/>
            <w:r w:rsidRPr="003D50DD">
              <w:rPr>
                <w:rFonts w:asciiTheme="minorHAnsi" w:hAnsiTheme="minorHAnsi" w:cstheme="minorHAnsi"/>
              </w:rPr>
              <w:t>qtr</w:t>
            </w:r>
            <w:proofErr w:type="spellEnd"/>
            <w:r w:rsidRPr="003D50DD">
              <w:rPr>
                <w:rFonts w:asciiTheme="minorHAnsi" w:hAnsiTheme="minorHAnsi" w:cstheme="minorHAnsi"/>
              </w:rPr>
              <w:t xml:space="preserve"> for all 4 </w:t>
            </w:r>
            <w:proofErr w:type="spellStart"/>
            <w:r w:rsidRPr="003D50DD">
              <w:rPr>
                <w:rFonts w:asciiTheme="minorHAnsi" w:hAnsiTheme="minorHAnsi" w:cstheme="minorHAnsi"/>
              </w:rPr>
              <w:t>qtrs</w:t>
            </w:r>
            <w:proofErr w:type="spellEnd"/>
          </w:p>
        </w:tc>
      </w:tr>
    </w:tbl>
    <w:p w14:paraId="79A99465" w14:textId="191076C2" w:rsidR="003D50DD" w:rsidRDefault="003D50DD" w:rsidP="003D50DD"/>
    <w:p w14:paraId="6A255E1E" w14:textId="5989C845" w:rsidR="003D50DD" w:rsidRDefault="003D50DD" w:rsidP="003D50DD">
      <w:pPr>
        <w:pStyle w:val="ListParagraph"/>
        <w:numPr>
          <w:ilvl w:val="0"/>
          <w:numId w:val="5"/>
        </w:numPr>
      </w:pPr>
      <w:r>
        <w:t>Require at least 75 percent of valid years during the trend period. For example, 12 valid years would be required for the 15-year period 1990</w:t>
      </w:r>
      <w:r w:rsidR="00CD5FD2">
        <w:t xml:space="preserve">-2004. In addition, sites </w:t>
      </w:r>
      <w:r>
        <w:t>must not be missing more than two consecutive years of data</w:t>
      </w:r>
      <w:r w:rsidR="00CD5FD2">
        <w:t xml:space="preserve"> to be considered a “trend site” or “national stats site” factored into the summary statistics (national average etc.)</w:t>
      </w:r>
      <w:r>
        <w:t>.</w:t>
      </w:r>
    </w:p>
    <w:p w14:paraId="3698A7E0" w14:textId="77777777" w:rsidR="003D50DD" w:rsidRDefault="003D50DD" w:rsidP="003D50DD">
      <w:pPr>
        <w:pStyle w:val="ListParagraph"/>
        <w:numPr>
          <w:ilvl w:val="0"/>
          <w:numId w:val="5"/>
        </w:numPr>
      </w:pPr>
      <w:r>
        <w:t xml:space="preserve">If there are multiple monitors at the same site, then use only the most complete (by number of valid years), lowest </w:t>
      </w:r>
      <w:proofErr w:type="spellStart"/>
      <w:r>
        <w:t>poc</w:t>
      </w:r>
      <w:proofErr w:type="spellEnd"/>
      <w:r>
        <w:t xml:space="preserve"> (1,2,3, etc.) monitor, in that order, to represent the site.</w:t>
      </w:r>
    </w:p>
    <w:p w14:paraId="196D0356" w14:textId="73BC3144" w:rsidR="003D50DD" w:rsidRDefault="003D50DD" w:rsidP="003D50DD">
      <w:pPr>
        <w:pStyle w:val="ListParagraph"/>
        <w:numPr>
          <w:ilvl w:val="0"/>
          <w:numId w:val="5"/>
        </w:numPr>
      </w:pPr>
      <w:r>
        <w:t>Use linearly interpolation to fill in for any missing years. Missing end years are replaced with the value of the nearest year.</w:t>
      </w:r>
    </w:p>
    <w:p w14:paraId="2FF8B6BE" w14:textId="2A3ED4D0" w:rsidR="00025807" w:rsidRDefault="003D50DD" w:rsidP="003D50DD">
      <w:pPr>
        <w:pStyle w:val="ListParagraph"/>
        <w:numPr>
          <w:ilvl w:val="0"/>
          <w:numId w:val="5"/>
        </w:numPr>
      </w:pPr>
      <w:r>
        <w:t xml:space="preserve">Use the interpolated data set for assessing national and regional trends. Use the </w:t>
      </w:r>
      <w:proofErr w:type="spellStart"/>
      <w:r>
        <w:t>uninterpolated</w:t>
      </w:r>
      <w:proofErr w:type="spellEnd"/>
      <w:r>
        <w:t xml:space="preserve"> data set for assessing trends at individual sites.</w:t>
      </w:r>
    </w:p>
    <w:p w14:paraId="4776FA91" w14:textId="52B325A2" w:rsidR="00316177" w:rsidRPr="00025807" w:rsidRDefault="00316177" w:rsidP="00316177">
      <w:pPr>
        <w:pStyle w:val="ListParagraph"/>
        <w:numPr>
          <w:ilvl w:val="0"/>
          <w:numId w:val="5"/>
        </w:numPr>
      </w:pPr>
      <w:r w:rsidRPr="00316177">
        <w:t>For the interpolated data sets, determine whether the data indicates a statistically significant trend up or down, or no trend, using a nonparametric method commonly referred to as the Theil test (M. Hollander and D.A. Wolfe, Nonparametric Statistical Methods, John Wiley and Sons, Inc., New York, NY, 1973.)  The test provides a slope estimate, indicating the direction of the trend.  For the purposes of this trend assessment, use a p-value of .05 to determine significance.</w:t>
      </w:r>
    </w:p>
    <w:p w14:paraId="7D1C2750" w14:textId="7B4816F7" w:rsidR="00025807" w:rsidRDefault="00025807" w:rsidP="00025807"/>
    <w:p w14:paraId="6ED94D99" w14:textId="3549A663" w:rsidR="00F90487" w:rsidRDefault="00F90487" w:rsidP="00F90487">
      <w:pPr>
        <w:pStyle w:val="Heading3"/>
      </w:pPr>
      <w:r>
        <w:t>PM</w:t>
      </w:r>
      <w:r w:rsidRPr="003D50DD">
        <w:rPr>
          <w:vertAlign w:val="subscript"/>
        </w:rPr>
        <w:t>2.5</w:t>
      </w:r>
      <w:r>
        <w:t xml:space="preserve"> Speciation Data</w:t>
      </w:r>
    </w:p>
    <w:p w14:paraId="111C7FC3" w14:textId="77777777" w:rsidR="006D6045" w:rsidRDefault="006D6045" w:rsidP="006D6045">
      <w:pPr>
        <w:pStyle w:val="Heading4"/>
      </w:pPr>
      <w:r>
        <w:t>Methodology for generating figures for the PM2.5 chemical composition</w:t>
      </w:r>
    </w:p>
    <w:p w14:paraId="0D5E24D3" w14:textId="77777777" w:rsidR="006D6045" w:rsidRDefault="006D6045" w:rsidP="006D6045">
      <w:pPr>
        <w:pStyle w:val="ListParagraph"/>
        <w:numPr>
          <w:ilvl w:val="0"/>
          <w:numId w:val="2"/>
        </w:numPr>
      </w:pPr>
      <w:r>
        <w:t>Query AQS quarterly summary tables for all PM</w:t>
      </w:r>
      <w:r w:rsidRPr="003D50DD">
        <w:rPr>
          <w:vertAlign w:val="subscript"/>
        </w:rPr>
        <w:t>2.5</w:t>
      </w:r>
      <w:r>
        <w:t xml:space="preserve"> chemical speciation sites that are part of the Interagency Monitoring of Protected Visual Environments (IMPROVE) network, Chemical Speciation Network (CSN), and the </w:t>
      </w:r>
      <w:proofErr w:type="spellStart"/>
      <w:r>
        <w:t>NCore</w:t>
      </w:r>
      <w:proofErr w:type="spellEnd"/>
      <w:r>
        <w:t xml:space="preserve"> Multipollutant Monitoring Network.</w:t>
      </w:r>
    </w:p>
    <w:p w14:paraId="6FB762FA" w14:textId="77777777" w:rsidR="006D6045" w:rsidRDefault="006D6045" w:rsidP="006D6045">
      <w:pPr>
        <w:pStyle w:val="ListParagraph"/>
        <w:numPr>
          <w:ilvl w:val="0"/>
          <w:numId w:val="2"/>
        </w:numPr>
      </w:pPr>
      <w:r>
        <w:t>Download the relevant summary statistics for chemical species, along with the number of observations per calendar quarter for assessing completeness.</w:t>
      </w:r>
    </w:p>
    <w:p w14:paraId="695D1717" w14:textId="77777777" w:rsidR="006D6045" w:rsidRDefault="006D6045" w:rsidP="006D6045">
      <w:pPr>
        <w:pStyle w:val="ListParagraph"/>
        <w:numPr>
          <w:ilvl w:val="0"/>
          <w:numId w:val="2"/>
        </w:numPr>
      </w:pPr>
      <w:r>
        <w:t>Require at least 11 valid samples for each quarter for each chemical species</w:t>
      </w:r>
    </w:p>
    <w:p w14:paraId="03626863" w14:textId="0AACC63F" w:rsidR="006D6045" w:rsidRDefault="006D6045" w:rsidP="006D6045">
      <w:pPr>
        <w:pStyle w:val="ListParagraph"/>
        <w:numPr>
          <w:ilvl w:val="0"/>
          <w:numId w:val="2"/>
        </w:numPr>
      </w:pPr>
      <w:r>
        <w:t>Compute the PM</w:t>
      </w:r>
      <w:r w:rsidRPr="003D50DD">
        <w:rPr>
          <w:vertAlign w:val="subscript"/>
        </w:rPr>
        <w:t>2.5</w:t>
      </w:r>
      <w:r>
        <w:t xml:space="preserve"> chemical components from the species information following the table below:</w:t>
      </w:r>
    </w:p>
    <w:tbl>
      <w:tblPr>
        <w:tblStyle w:val="TableGrid"/>
        <w:tblW w:w="8100" w:type="dxa"/>
        <w:tblInd w:w="715" w:type="dxa"/>
        <w:tblLook w:val="01E0" w:firstRow="1" w:lastRow="1" w:firstColumn="1" w:lastColumn="1" w:noHBand="0" w:noVBand="0"/>
      </w:tblPr>
      <w:tblGrid>
        <w:gridCol w:w="1710"/>
        <w:gridCol w:w="3623"/>
        <w:gridCol w:w="2767"/>
      </w:tblGrid>
      <w:tr w:rsidR="006D6045" w:rsidRPr="006D6045" w14:paraId="30269CB8" w14:textId="77777777" w:rsidTr="00F32B0A">
        <w:tc>
          <w:tcPr>
            <w:tcW w:w="1710" w:type="dxa"/>
            <w:vAlign w:val="center"/>
          </w:tcPr>
          <w:p w14:paraId="42EE610C"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PM</w:t>
            </w:r>
            <w:r w:rsidRPr="00F32B0A">
              <w:rPr>
                <w:rFonts w:asciiTheme="minorHAnsi" w:hAnsiTheme="minorHAnsi"/>
                <w:b/>
                <w:vertAlign w:val="subscript"/>
              </w:rPr>
              <w:t>2.5</w:t>
            </w:r>
            <w:r w:rsidRPr="00F32B0A">
              <w:rPr>
                <w:rFonts w:asciiTheme="minorHAnsi" w:hAnsiTheme="minorHAnsi"/>
                <w:b/>
              </w:rPr>
              <w:t xml:space="preserve"> chemical component</w:t>
            </w:r>
          </w:p>
        </w:tc>
        <w:tc>
          <w:tcPr>
            <w:tcW w:w="3623" w:type="dxa"/>
            <w:vAlign w:val="center"/>
          </w:tcPr>
          <w:p w14:paraId="4E0DE8D1" w14:textId="77777777" w:rsidR="006D6045" w:rsidRPr="00F32B0A" w:rsidRDefault="006D6045" w:rsidP="00F32B0A">
            <w:pPr>
              <w:jc w:val="center"/>
              <w:rPr>
                <w:rFonts w:asciiTheme="minorHAnsi" w:hAnsiTheme="minorHAnsi"/>
                <w:b/>
              </w:rPr>
            </w:pPr>
            <w:r w:rsidRPr="00F32B0A">
              <w:rPr>
                <w:rFonts w:asciiTheme="minorHAnsi" w:hAnsiTheme="minorHAnsi"/>
                <w:b/>
              </w:rPr>
              <w:t>Chemical species included</w:t>
            </w:r>
          </w:p>
        </w:tc>
        <w:tc>
          <w:tcPr>
            <w:tcW w:w="2767" w:type="dxa"/>
            <w:vAlign w:val="center"/>
          </w:tcPr>
          <w:p w14:paraId="06A98381" w14:textId="77777777" w:rsidR="006D6045" w:rsidRPr="00F32B0A" w:rsidRDefault="006D6045" w:rsidP="00F32B0A">
            <w:pPr>
              <w:widowControl w:val="0"/>
              <w:jc w:val="center"/>
              <w:rPr>
                <w:rFonts w:asciiTheme="minorHAnsi" w:hAnsiTheme="minorHAnsi"/>
                <w:b/>
              </w:rPr>
            </w:pPr>
            <w:r w:rsidRPr="00F32B0A">
              <w:rPr>
                <w:rFonts w:asciiTheme="minorHAnsi" w:hAnsiTheme="minorHAnsi"/>
                <w:b/>
              </w:rPr>
              <w:t>Parameter Code</w:t>
            </w:r>
          </w:p>
        </w:tc>
      </w:tr>
      <w:tr w:rsidR="006D6045" w:rsidRPr="006D6045" w14:paraId="505AF3CF" w14:textId="77777777" w:rsidTr="00F32B0A">
        <w:trPr>
          <w:trHeight w:val="60"/>
        </w:trPr>
        <w:tc>
          <w:tcPr>
            <w:tcW w:w="1710" w:type="dxa"/>
            <w:vAlign w:val="center"/>
          </w:tcPr>
          <w:p w14:paraId="545702C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Sulfate</w:t>
            </w:r>
          </w:p>
        </w:tc>
        <w:tc>
          <w:tcPr>
            <w:tcW w:w="3623" w:type="dxa"/>
            <w:vAlign w:val="center"/>
          </w:tcPr>
          <w:p w14:paraId="29136903" w14:textId="77777777" w:rsidR="006D6045" w:rsidRPr="006D6045" w:rsidRDefault="006D6045" w:rsidP="00F32B0A">
            <w:pPr>
              <w:rPr>
                <w:rFonts w:asciiTheme="minorHAnsi" w:hAnsiTheme="minorHAnsi"/>
              </w:rPr>
            </w:pPr>
            <w:r w:rsidRPr="04B38F89">
              <w:rPr>
                <w:rFonts w:asciiTheme="minorHAnsi" w:hAnsiTheme="minorHAnsi"/>
              </w:rPr>
              <w:t>sulfate</w:t>
            </w:r>
          </w:p>
        </w:tc>
        <w:tc>
          <w:tcPr>
            <w:tcW w:w="2767" w:type="dxa"/>
            <w:vAlign w:val="center"/>
          </w:tcPr>
          <w:p w14:paraId="68B05933" w14:textId="77777777" w:rsidR="006D6045" w:rsidRPr="006D6045" w:rsidRDefault="006D6045" w:rsidP="00F32B0A">
            <w:pPr>
              <w:widowControl w:val="0"/>
              <w:rPr>
                <w:rFonts w:asciiTheme="minorHAnsi" w:hAnsiTheme="minorHAnsi"/>
              </w:rPr>
            </w:pPr>
            <w:r w:rsidRPr="04B38F89">
              <w:rPr>
                <w:rFonts w:asciiTheme="minorHAnsi" w:hAnsiTheme="minorHAnsi"/>
              </w:rPr>
              <w:t>88403</w:t>
            </w:r>
          </w:p>
        </w:tc>
      </w:tr>
      <w:tr w:rsidR="006D6045" w:rsidRPr="006D6045" w14:paraId="6651F737" w14:textId="77777777" w:rsidTr="00F32B0A">
        <w:trPr>
          <w:trHeight w:val="60"/>
        </w:trPr>
        <w:tc>
          <w:tcPr>
            <w:tcW w:w="1710" w:type="dxa"/>
            <w:vAlign w:val="center"/>
          </w:tcPr>
          <w:p w14:paraId="4C4836D2" w14:textId="77777777" w:rsidR="006D6045" w:rsidRPr="006D6045" w:rsidRDefault="006D6045" w:rsidP="00F32B0A">
            <w:pPr>
              <w:widowControl w:val="0"/>
              <w:jc w:val="center"/>
              <w:rPr>
                <w:rFonts w:asciiTheme="minorHAnsi" w:hAnsiTheme="minorHAnsi"/>
              </w:rPr>
            </w:pPr>
            <w:r w:rsidRPr="04B38F89">
              <w:rPr>
                <w:rFonts w:asciiTheme="minorHAnsi" w:hAnsiTheme="minorHAnsi"/>
              </w:rPr>
              <w:t>Nitrate</w:t>
            </w:r>
          </w:p>
        </w:tc>
        <w:tc>
          <w:tcPr>
            <w:tcW w:w="3623" w:type="dxa"/>
            <w:vAlign w:val="center"/>
          </w:tcPr>
          <w:p w14:paraId="096C0257" w14:textId="77777777" w:rsidR="006D6045" w:rsidRPr="006D6045" w:rsidRDefault="006D6045" w:rsidP="00F32B0A">
            <w:pPr>
              <w:rPr>
                <w:rFonts w:asciiTheme="minorHAnsi" w:hAnsiTheme="minorHAnsi"/>
              </w:rPr>
            </w:pPr>
            <w:r w:rsidRPr="04B38F89">
              <w:rPr>
                <w:rFonts w:asciiTheme="minorHAnsi" w:hAnsiTheme="minorHAnsi"/>
              </w:rPr>
              <w:t>nitrate</w:t>
            </w:r>
          </w:p>
        </w:tc>
        <w:tc>
          <w:tcPr>
            <w:tcW w:w="2767" w:type="dxa"/>
            <w:vAlign w:val="center"/>
          </w:tcPr>
          <w:p w14:paraId="0FA2743D" w14:textId="77777777" w:rsidR="006D6045" w:rsidRPr="006D6045" w:rsidRDefault="006D6045" w:rsidP="00F32B0A">
            <w:pPr>
              <w:widowControl w:val="0"/>
              <w:rPr>
                <w:rFonts w:asciiTheme="minorHAnsi" w:hAnsiTheme="minorHAnsi"/>
              </w:rPr>
            </w:pPr>
            <w:r w:rsidRPr="04B38F89">
              <w:rPr>
                <w:rFonts w:asciiTheme="minorHAnsi" w:hAnsiTheme="minorHAnsi"/>
              </w:rPr>
              <w:t>88306</w:t>
            </w:r>
          </w:p>
        </w:tc>
      </w:tr>
      <w:tr w:rsidR="006D6045" w:rsidRPr="006D6045" w14:paraId="64D30735" w14:textId="77777777" w:rsidTr="00F32B0A">
        <w:trPr>
          <w:trHeight w:val="60"/>
        </w:trPr>
        <w:tc>
          <w:tcPr>
            <w:tcW w:w="1710" w:type="dxa"/>
            <w:vAlign w:val="center"/>
          </w:tcPr>
          <w:p w14:paraId="7185D584" w14:textId="77777777" w:rsidR="006D6045" w:rsidRPr="006D6045" w:rsidRDefault="006D6045" w:rsidP="00F32B0A">
            <w:pPr>
              <w:widowControl w:val="0"/>
              <w:jc w:val="center"/>
              <w:rPr>
                <w:rFonts w:asciiTheme="minorHAnsi" w:hAnsiTheme="minorHAnsi"/>
              </w:rPr>
            </w:pPr>
            <w:r w:rsidRPr="04B38F89">
              <w:rPr>
                <w:rFonts w:asciiTheme="minorHAnsi" w:hAnsiTheme="minorHAnsi"/>
              </w:rPr>
              <w:t>Organic Carbon</w:t>
            </w:r>
          </w:p>
        </w:tc>
        <w:tc>
          <w:tcPr>
            <w:tcW w:w="3623" w:type="dxa"/>
            <w:vAlign w:val="center"/>
          </w:tcPr>
          <w:p w14:paraId="365D0F4E" w14:textId="77777777" w:rsidR="006D6045" w:rsidRPr="006D6045" w:rsidRDefault="006D6045" w:rsidP="00F32B0A">
            <w:pPr>
              <w:rPr>
                <w:rFonts w:asciiTheme="minorHAnsi" w:hAnsiTheme="minorHAnsi"/>
              </w:rPr>
            </w:pPr>
            <w:r w:rsidRPr="04B38F89">
              <w:rPr>
                <w:rFonts w:asciiTheme="minorHAnsi" w:hAnsiTheme="minorHAnsi"/>
              </w:rPr>
              <w:t>1) TOR OC,</w:t>
            </w:r>
          </w:p>
          <w:p w14:paraId="2B2101F9" w14:textId="77777777" w:rsidR="006D6045" w:rsidRPr="006D6045" w:rsidRDefault="006D6045" w:rsidP="00F32B0A">
            <w:pPr>
              <w:rPr>
                <w:rFonts w:asciiTheme="minorHAnsi" w:hAnsiTheme="minorHAnsi"/>
              </w:rPr>
            </w:pPr>
            <w:r w:rsidRPr="04B38F89">
              <w:rPr>
                <w:rFonts w:asciiTheme="minorHAnsi" w:hAnsiTheme="minorHAnsi"/>
              </w:rPr>
              <w:t>2) (TOT OC-1.57432)/1.15101</w:t>
            </w:r>
          </w:p>
        </w:tc>
        <w:tc>
          <w:tcPr>
            <w:tcW w:w="2767" w:type="dxa"/>
            <w:shd w:val="clear" w:color="auto" w:fill="auto"/>
            <w:vAlign w:val="center"/>
          </w:tcPr>
          <w:p w14:paraId="2C5570BF" w14:textId="77777777" w:rsidR="006D6045" w:rsidRPr="006D6045" w:rsidRDefault="006D6045" w:rsidP="00F32B0A">
            <w:pPr>
              <w:widowControl w:val="0"/>
              <w:rPr>
                <w:rFonts w:asciiTheme="minorHAnsi" w:hAnsiTheme="minorHAnsi"/>
              </w:rPr>
            </w:pPr>
            <w:r w:rsidRPr="04B38F89">
              <w:rPr>
                <w:rFonts w:asciiTheme="minorHAnsi" w:hAnsiTheme="minorHAnsi"/>
              </w:rPr>
              <w:t>88320 (TOR OC), 88370 (TOR OC), 88305 (TOT OC)</w:t>
            </w:r>
          </w:p>
        </w:tc>
      </w:tr>
      <w:tr w:rsidR="006D6045" w:rsidRPr="006D6045" w14:paraId="2131102E" w14:textId="77777777" w:rsidTr="00F32B0A">
        <w:trPr>
          <w:trHeight w:val="60"/>
        </w:trPr>
        <w:tc>
          <w:tcPr>
            <w:tcW w:w="1710" w:type="dxa"/>
            <w:vAlign w:val="center"/>
          </w:tcPr>
          <w:p w14:paraId="0EC86276" w14:textId="77777777" w:rsidR="006D6045" w:rsidRPr="006D6045" w:rsidRDefault="006D6045" w:rsidP="00F32B0A">
            <w:pPr>
              <w:widowControl w:val="0"/>
              <w:jc w:val="center"/>
              <w:rPr>
                <w:rFonts w:asciiTheme="minorHAnsi" w:hAnsiTheme="minorHAnsi"/>
              </w:rPr>
            </w:pPr>
            <w:r w:rsidRPr="04B38F89">
              <w:rPr>
                <w:rFonts w:asciiTheme="minorHAnsi" w:hAnsiTheme="minorHAnsi"/>
              </w:rPr>
              <w:t>Elemental Carbon</w:t>
            </w:r>
          </w:p>
        </w:tc>
        <w:tc>
          <w:tcPr>
            <w:tcW w:w="3623" w:type="dxa"/>
            <w:vAlign w:val="center"/>
          </w:tcPr>
          <w:p w14:paraId="3875F30D" w14:textId="77777777" w:rsidR="006D6045" w:rsidRPr="006D6045" w:rsidRDefault="006D6045" w:rsidP="00F32B0A">
            <w:pPr>
              <w:rPr>
                <w:rFonts w:asciiTheme="minorHAnsi" w:hAnsiTheme="minorHAnsi"/>
              </w:rPr>
            </w:pPr>
            <w:r w:rsidRPr="04B38F89">
              <w:rPr>
                <w:rFonts w:asciiTheme="minorHAnsi" w:hAnsiTheme="minorHAnsi"/>
              </w:rPr>
              <w:t>1) TOR EC,</w:t>
            </w:r>
          </w:p>
          <w:p w14:paraId="1FFA1DAE" w14:textId="77777777" w:rsidR="006D6045" w:rsidRPr="006D6045" w:rsidRDefault="006D6045" w:rsidP="00F32B0A">
            <w:pPr>
              <w:rPr>
                <w:rFonts w:asciiTheme="minorHAnsi" w:hAnsiTheme="minorHAnsi"/>
              </w:rPr>
            </w:pPr>
            <w:r w:rsidRPr="04B38F89">
              <w:rPr>
                <w:rFonts w:asciiTheme="minorHAnsi" w:hAnsiTheme="minorHAnsi"/>
              </w:rPr>
              <w:t>2) (TOT EC-0.104071)/0.92462</w:t>
            </w:r>
          </w:p>
        </w:tc>
        <w:tc>
          <w:tcPr>
            <w:tcW w:w="2767" w:type="dxa"/>
            <w:vAlign w:val="center"/>
          </w:tcPr>
          <w:p w14:paraId="59515B86" w14:textId="77777777" w:rsidR="006D6045" w:rsidRPr="006D6045" w:rsidRDefault="006D6045" w:rsidP="00F32B0A">
            <w:pPr>
              <w:widowControl w:val="0"/>
              <w:rPr>
                <w:rFonts w:asciiTheme="minorHAnsi" w:hAnsiTheme="minorHAnsi"/>
              </w:rPr>
            </w:pPr>
            <w:r w:rsidRPr="04B38F89">
              <w:rPr>
                <w:rFonts w:asciiTheme="minorHAnsi" w:hAnsiTheme="minorHAnsi"/>
              </w:rPr>
              <w:t>88321(TOR OC), 88380(TOR OC), 88307 (TOT EC)</w:t>
            </w:r>
          </w:p>
        </w:tc>
      </w:tr>
      <w:tr w:rsidR="006D6045" w:rsidRPr="006D6045" w14:paraId="4CEB05E7" w14:textId="77777777" w:rsidTr="00F32B0A">
        <w:trPr>
          <w:trHeight w:val="60"/>
        </w:trPr>
        <w:tc>
          <w:tcPr>
            <w:tcW w:w="1710" w:type="dxa"/>
            <w:vAlign w:val="center"/>
          </w:tcPr>
          <w:p w14:paraId="724668C9" w14:textId="77777777" w:rsidR="006D6045" w:rsidRPr="006D6045" w:rsidRDefault="006D6045" w:rsidP="00F32B0A">
            <w:pPr>
              <w:widowControl w:val="0"/>
              <w:jc w:val="center"/>
              <w:rPr>
                <w:rFonts w:asciiTheme="minorHAnsi" w:hAnsiTheme="minorHAnsi"/>
              </w:rPr>
            </w:pPr>
            <w:r w:rsidRPr="04B38F89">
              <w:rPr>
                <w:rFonts w:asciiTheme="minorHAnsi" w:hAnsiTheme="minorHAnsi"/>
              </w:rPr>
              <w:t>Crustal</w:t>
            </w:r>
          </w:p>
        </w:tc>
        <w:tc>
          <w:tcPr>
            <w:tcW w:w="3623" w:type="dxa"/>
            <w:vAlign w:val="center"/>
          </w:tcPr>
          <w:p w14:paraId="122ECA14" w14:textId="77777777" w:rsidR="006D6045" w:rsidRPr="006D6045" w:rsidRDefault="006D6045" w:rsidP="00F32B0A">
            <w:pPr>
              <w:rPr>
                <w:rFonts w:asciiTheme="minorHAnsi" w:hAnsiTheme="minorHAnsi"/>
              </w:rPr>
            </w:pPr>
            <w:r w:rsidRPr="04B38F89">
              <w:rPr>
                <w:rFonts w:asciiTheme="minorHAnsi" w:hAnsiTheme="minorHAnsi"/>
              </w:rPr>
              <w:t>2.2×Al+2.49×Si+1.63×Ca+2.42×Fe+1.94×Ti</w:t>
            </w:r>
          </w:p>
        </w:tc>
        <w:tc>
          <w:tcPr>
            <w:tcW w:w="2767" w:type="dxa"/>
            <w:shd w:val="clear" w:color="auto" w:fill="auto"/>
            <w:vAlign w:val="center"/>
          </w:tcPr>
          <w:p w14:paraId="280B19D7" w14:textId="77777777" w:rsidR="006D6045" w:rsidRPr="006D6045" w:rsidRDefault="006D6045" w:rsidP="00F32B0A">
            <w:pPr>
              <w:widowControl w:val="0"/>
              <w:rPr>
                <w:rFonts w:asciiTheme="minorHAnsi" w:hAnsiTheme="minorHAnsi"/>
              </w:rPr>
            </w:pPr>
            <w:r w:rsidRPr="04B38F89">
              <w:rPr>
                <w:rFonts w:asciiTheme="minorHAnsi" w:hAnsiTheme="minorHAnsi"/>
              </w:rPr>
              <w:t>88104 (Al), 88165 (Si), 88111 (Ca), 88126 (Fe), 88161 (</w:t>
            </w:r>
            <w:proofErr w:type="spellStart"/>
            <w:r w:rsidRPr="04B38F89">
              <w:rPr>
                <w:rFonts w:asciiTheme="minorHAnsi" w:hAnsiTheme="minorHAnsi"/>
              </w:rPr>
              <w:t>Ti</w:t>
            </w:r>
            <w:proofErr w:type="spellEnd"/>
            <w:r w:rsidRPr="04B38F89">
              <w:rPr>
                <w:rFonts w:asciiTheme="minorHAnsi" w:hAnsiTheme="minorHAnsi"/>
              </w:rPr>
              <w:t>)</w:t>
            </w:r>
          </w:p>
        </w:tc>
      </w:tr>
      <w:tr w:rsidR="006D6045" w:rsidRPr="006D6045" w14:paraId="75FB794D" w14:textId="77777777" w:rsidTr="00F32B0A">
        <w:trPr>
          <w:trHeight w:val="60"/>
        </w:trPr>
        <w:tc>
          <w:tcPr>
            <w:tcW w:w="1710" w:type="dxa"/>
            <w:vAlign w:val="center"/>
          </w:tcPr>
          <w:p w14:paraId="6F4E3C9E" w14:textId="77777777" w:rsidR="006D6045" w:rsidRPr="006D6045" w:rsidRDefault="006D6045" w:rsidP="00F32B0A">
            <w:pPr>
              <w:widowControl w:val="0"/>
              <w:jc w:val="center"/>
              <w:rPr>
                <w:rFonts w:asciiTheme="minorHAnsi" w:hAnsiTheme="minorHAnsi"/>
              </w:rPr>
            </w:pPr>
            <w:r w:rsidRPr="04B38F89">
              <w:rPr>
                <w:rFonts w:asciiTheme="minorHAnsi" w:hAnsiTheme="minorHAnsi"/>
              </w:rPr>
              <w:t>Sea-salt</w:t>
            </w:r>
          </w:p>
        </w:tc>
        <w:tc>
          <w:tcPr>
            <w:tcW w:w="3623" w:type="dxa"/>
            <w:vAlign w:val="center"/>
          </w:tcPr>
          <w:p w14:paraId="2778611A" w14:textId="77777777" w:rsidR="006D6045" w:rsidRPr="006D6045" w:rsidRDefault="006D6045" w:rsidP="00F32B0A">
            <w:pPr>
              <w:ind w:left="-13"/>
              <w:rPr>
                <w:rFonts w:asciiTheme="minorHAnsi" w:hAnsiTheme="minorHAnsi"/>
              </w:rPr>
            </w:pPr>
            <w:r w:rsidRPr="04B38F89">
              <w:rPr>
                <w:rFonts w:asciiTheme="minorHAnsi" w:hAnsiTheme="minorHAnsi"/>
              </w:rPr>
              <w:t>1) Chloride×1.8,</w:t>
            </w:r>
          </w:p>
          <w:p w14:paraId="5031E4E8" w14:textId="77777777" w:rsidR="006D6045" w:rsidRPr="006D6045" w:rsidRDefault="006D6045" w:rsidP="00F32B0A">
            <w:pPr>
              <w:rPr>
                <w:rFonts w:asciiTheme="minorHAnsi" w:hAnsiTheme="minorHAnsi"/>
              </w:rPr>
            </w:pPr>
            <w:r w:rsidRPr="04B38F89">
              <w:rPr>
                <w:rFonts w:asciiTheme="minorHAnsi" w:hAnsiTheme="minorHAnsi"/>
              </w:rPr>
              <w:t>2) Chlorine×1.8</w:t>
            </w:r>
          </w:p>
        </w:tc>
        <w:tc>
          <w:tcPr>
            <w:tcW w:w="2767" w:type="dxa"/>
            <w:shd w:val="clear" w:color="auto" w:fill="auto"/>
            <w:vAlign w:val="center"/>
          </w:tcPr>
          <w:p w14:paraId="2527768B" w14:textId="77777777" w:rsidR="006D6045" w:rsidRPr="006D6045" w:rsidRDefault="006D6045" w:rsidP="00F32B0A">
            <w:pPr>
              <w:widowControl w:val="0"/>
              <w:rPr>
                <w:rFonts w:asciiTheme="minorHAnsi" w:hAnsiTheme="minorHAnsi"/>
              </w:rPr>
            </w:pPr>
            <w:r w:rsidRPr="04B38F89">
              <w:rPr>
                <w:rFonts w:asciiTheme="minorHAnsi" w:hAnsiTheme="minorHAnsi"/>
              </w:rPr>
              <w:t>88115 (Chlorine), 88203 (Chloride)</w:t>
            </w:r>
          </w:p>
        </w:tc>
      </w:tr>
    </w:tbl>
    <w:p w14:paraId="03446FB5" w14:textId="77777777" w:rsidR="00F32B0A" w:rsidRDefault="00F32B0A" w:rsidP="00F32B0A">
      <w:pPr>
        <w:pStyle w:val="ListParagraph"/>
      </w:pPr>
    </w:p>
    <w:p w14:paraId="2313B599" w14:textId="03D4516D" w:rsidR="006D6045" w:rsidRDefault="006D6045" w:rsidP="007B777F">
      <w:pPr>
        <w:pStyle w:val="ListParagraph"/>
        <w:numPr>
          <w:ilvl w:val="0"/>
          <w:numId w:val="2"/>
        </w:numPr>
      </w:pPr>
      <w:r>
        <w:t>If one component is missing for the quarter, the stacked bar chart for that quarter is not shown for any component.</w:t>
      </w:r>
    </w:p>
    <w:p w14:paraId="0D952ADD" w14:textId="0022F22A" w:rsidR="00F90487" w:rsidRDefault="006D6045" w:rsidP="007B777F">
      <w:pPr>
        <w:pStyle w:val="ListParagraph"/>
        <w:numPr>
          <w:ilvl w:val="0"/>
          <w:numId w:val="2"/>
        </w:numPr>
      </w:pPr>
      <w:r>
        <w:lastRenderedPageBreak/>
        <w:t>If one quarterly stacked bar chart is missing, the stacked bar chart of the annual averages for that year is not shown for any component.</w:t>
      </w:r>
    </w:p>
    <w:p w14:paraId="57B0DB18" w14:textId="2ABF6D58" w:rsidR="006D6045" w:rsidRDefault="006D6045" w:rsidP="006D6045"/>
    <w:p w14:paraId="690BC4F7" w14:textId="4041EB2F" w:rsidR="00F90487" w:rsidRDefault="00F90487" w:rsidP="00F90487">
      <w:pPr>
        <w:pStyle w:val="Heading3"/>
      </w:pPr>
      <w:r>
        <w:t>Visibility Data</w:t>
      </w:r>
    </w:p>
    <w:p w14:paraId="577009E7" w14:textId="77777777" w:rsidR="006D6045" w:rsidRDefault="006D6045" w:rsidP="006D6045">
      <w:pPr>
        <w:pStyle w:val="Heading4"/>
      </w:pPr>
      <w:r>
        <w:t>Methodology for generating data for the visibility graphics</w:t>
      </w:r>
    </w:p>
    <w:p w14:paraId="0038C082" w14:textId="77777777" w:rsidR="006D6045" w:rsidRDefault="006D6045" w:rsidP="006D6045">
      <w:pPr>
        <w:pStyle w:val="ListParagraph"/>
        <w:numPr>
          <w:ilvl w:val="0"/>
          <w:numId w:val="4"/>
        </w:numPr>
      </w:pPr>
      <w:r>
        <w:t>Download the latest Regional Haze Rule daily values summary file at http://vista.cira.colostate.edu/Improve/rhr-summary-data/</w:t>
      </w:r>
    </w:p>
    <w:p w14:paraId="1C3DE9AF" w14:textId="2EDB7A6B" w:rsidR="006D6045" w:rsidRDefault="006D6045" w:rsidP="006D6045">
      <w:pPr>
        <w:pStyle w:val="ListParagraph"/>
        <w:numPr>
          <w:ilvl w:val="0"/>
          <w:numId w:val="4"/>
        </w:numPr>
      </w:pPr>
      <w:r>
        <w:t>Remove years from the analysis that do not meet the Regional Haze Rule requirements for a complete year (All four quarters of that year should be at least 50% complete, and overall the year should be 75% complete. Additionally, there cannot be more than 10 missing sampling days in a row at any time during the calendar year.)</w:t>
      </w:r>
    </w:p>
    <w:p w14:paraId="0E3AA9BB" w14:textId="53522CB8" w:rsidR="006D6045" w:rsidRDefault="006D6045" w:rsidP="006D6045">
      <w:pPr>
        <w:pStyle w:val="ListParagraph"/>
        <w:numPr>
          <w:ilvl w:val="0"/>
          <w:numId w:val="4"/>
        </w:numPr>
      </w:pPr>
      <w:r>
        <w:t xml:space="preserve">Identify the 20% clearest and 20% most impaired days for each complete year. The 20% clearest days are those with the lowest </w:t>
      </w:r>
      <w:proofErr w:type="spellStart"/>
      <w:r>
        <w:t>deciview</w:t>
      </w:r>
      <w:proofErr w:type="spellEnd"/>
      <w:r>
        <w:t xml:space="preserve"> values while the identification of the 20% most impaired days is described by the draft guidance document for the </w:t>
      </w:r>
      <w:r w:rsidR="000D12B0">
        <w:t xml:space="preserve">2016 </w:t>
      </w:r>
      <w:r>
        <w:t>update to the Regional Haze Rule (https://www.epa.gov/sites/production/files/2016-07/documents/draft_regional_haze_guidance_july_2016.pdf).</w:t>
      </w:r>
    </w:p>
    <w:p w14:paraId="7B8E33E9" w14:textId="2E8C032E" w:rsidR="006D6045" w:rsidRDefault="006D6045" w:rsidP="006D6045">
      <w:pPr>
        <w:pStyle w:val="ListParagraph"/>
        <w:numPr>
          <w:ilvl w:val="0"/>
          <w:numId w:val="4"/>
        </w:numPr>
      </w:pPr>
      <w:r>
        <w:t xml:space="preserve">Identifying the 20% most impaired days requires some information about the estimated natural conditions of the site.  For sites without this estimate, </w:t>
      </w:r>
      <w:r w:rsidR="00953552">
        <w:t>EPA</w:t>
      </w:r>
      <w:r>
        <w:t xml:space="preserve"> used the natural conditions estimates for the nearest IMPROVE site with a natural conditions estimate.</w:t>
      </w:r>
    </w:p>
    <w:p w14:paraId="3BE84603" w14:textId="4BA1EB5B" w:rsidR="006D6045" w:rsidRPr="006D6045" w:rsidRDefault="006D6045" w:rsidP="006D6045">
      <w:pPr>
        <w:pStyle w:val="ListParagraph"/>
        <w:numPr>
          <w:ilvl w:val="0"/>
          <w:numId w:val="4"/>
        </w:numPr>
      </w:pPr>
      <w:r>
        <w:t xml:space="preserve">For national trends, selection of sites </w:t>
      </w:r>
      <w:r w:rsidR="00953552">
        <w:t xml:space="preserve">was limited </w:t>
      </w:r>
      <w:r>
        <w:t>to those with at least 75% valid years over the trend period (2000-2015). In addition, sites must not be missing more t</w:t>
      </w:r>
      <w:r w:rsidR="00CD5FD2">
        <w:t>han 2 consecutive years of data to be considered a “trend site” or “national stats site” factored into the summary statistics (national average etc.).</w:t>
      </w:r>
    </w:p>
    <w:p w14:paraId="78177AE8" w14:textId="37D30C25" w:rsidR="00F90487" w:rsidRDefault="00F90487" w:rsidP="00F90487"/>
    <w:p w14:paraId="3685B6A4" w14:textId="7F6209E9" w:rsidR="00F90487" w:rsidRDefault="005B65CA" w:rsidP="005B65CA">
      <w:pPr>
        <w:pStyle w:val="Heading3"/>
      </w:pPr>
      <w:r>
        <w:t>Air Toxics Data</w:t>
      </w:r>
    </w:p>
    <w:p w14:paraId="242113B4" w14:textId="2301B0C3" w:rsidR="00406876" w:rsidRPr="00406876" w:rsidRDefault="00406876" w:rsidP="005B65CA">
      <w:pPr>
        <w:pStyle w:val="Heading4"/>
      </w:pPr>
      <w:r>
        <w:t>O</w:t>
      </w:r>
      <w:r w:rsidR="00025807">
        <w:t>verview and Ambien</w:t>
      </w:r>
      <w:r w:rsidR="00FA7443">
        <w:t>t</w:t>
      </w:r>
      <w:r w:rsidR="00025807">
        <w:t xml:space="preserve"> Data Used</w:t>
      </w:r>
    </w:p>
    <w:p w14:paraId="43004E17" w14:textId="6BF7C333" w:rsidR="0034052A" w:rsidRDefault="00D0313D" w:rsidP="0034052A">
      <w:r>
        <w:t xml:space="preserve">Air toxics are measured across the country at </w:t>
      </w:r>
      <w:r w:rsidR="00DE413B">
        <w:t xml:space="preserve">the 27 </w:t>
      </w:r>
      <w:r>
        <w:t xml:space="preserve">National Air Toxics Trends Sites (NATTS) and </w:t>
      </w:r>
      <w:r w:rsidR="00974FF2">
        <w:t xml:space="preserve">hundreds of </w:t>
      </w:r>
      <w:r>
        <w:t xml:space="preserve">other sites operated by state, local, tribal agencies that are not part of the NATTS network. </w:t>
      </w:r>
      <w:r w:rsidR="00861D4B">
        <w:t xml:space="preserve"> The NATTS sites were created to generate long-term, quality assured, standardized ambient air toxics data to identify trends in air toxic c</w:t>
      </w:r>
      <w:r w:rsidR="00411B9C">
        <w:t xml:space="preserve">oncentrations, support model evaluation and other air toxics program needs. </w:t>
      </w:r>
      <w:r w:rsidR="00953552">
        <w:t>EPA</w:t>
      </w:r>
      <w:r w:rsidR="00DE413B">
        <w:t xml:space="preserve"> used both NATTS and non-NATTS data to develop site specific and national aggregate trends </w:t>
      </w:r>
      <w:r w:rsidR="00CD5FD2">
        <w:t>to</w:t>
      </w:r>
      <w:r w:rsidR="00DE413B">
        <w:t xml:space="preserve"> maximize the monitors used. </w:t>
      </w:r>
      <w:r w:rsidR="00861D4B">
        <w:t xml:space="preserve">Each point on the map provides </w:t>
      </w:r>
      <w:r w:rsidR="00225020">
        <w:t xml:space="preserve">a </w:t>
      </w:r>
      <w:r w:rsidR="00861D4B">
        <w:t xml:space="preserve">trend of the annual mean concentration between the years 2003 and 2015 for a </w:t>
      </w:r>
      <w:r w:rsidR="00CD5FD2">
        <w:t>site</w:t>
      </w:r>
      <w:r w:rsidR="00861D4B">
        <w:t xml:space="preserve"> </w:t>
      </w:r>
      <w:r w:rsidR="00411B9C">
        <w:t xml:space="preserve">(NATTS or other) </w:t>
      </w:r>
      <w:r w:rsidR="00861D4B">
        <w:t>and selected air toxics pollutant</w:t>
      </w:r>
      <w:r w:rsidR="00411B9C">
        <w:t xml:space="preserve">. </w:t>
      </w:r>
      <w:r w:rsidR="00C30987">
        <w:t>Many air toxics were monitored earlier than 2003, but 2003</w:t>
      </w:r>
      <w:r w:rsidR="00953552">
        <w:t xml:space="preserve"> was chosen</w:t>
      </w:r>
      <w:r w:rsidR="00C30987">
        <w:t xml:space="preserve"> since that was when most of the </w:t>
      </w:r>
      <w:r>
        <w:t>NATTS</w:t>
      </w:r>
      <w:r w:rsidR="00C30987">
        <w:t xml:space="preserve"> began operating. </w:t>
      </w:r>
      <w:r>
        <w:t xml:space="preserve"> For some </w:t>
      </w:r>
      <w:proofErr w:type="gramStart"/>
      <w:r>
        <w:t>pollutants</w:t>
      </w:r>
      <w:proofErr w:type="gramEnd"/>
      <w:r>
        <w:t xml:space="preserve"> the trend years are different due to the lack of data. For </w:t>
      </w:r>
      <w:r w:rsidR="00712644">
        <w:t>example, the</w:t>
      </w:r>
      <w:r w:rsidR="00861D4B">
        <w:t xml:space="preserve"> polycyclic aromatic hydrocarbon (PAH)</w:t>
      </w:r>
      <w:r>
        <w:t xml:space="preserve"> trends start in 2008 and hexavalent chromium trends end in 2012. </w:t>
      </w:r>
      <w:r w:rsidR="0034052A">
        <w:t xml:space="preserve"> </w:t>
      </w:r>
      <w:r w:rsidR="008A113D">
        <w:t xml:space="preserve">Annual </w:t>
      </w:r>
      <w:r w:rsidR="0034052A">
        <w:t>means</w:t>
      </w:r>
      <w:r w:rsidR="008A113D">
        <w:t xml:space="preserve"> were computed, as described below,</w:t>
      </w:r>
      <w:r w:rsidR="0034052A">
        <w:t xml:space="preserve"> from the daily</w:t>
      </w:r>
      <w:r w:rsidR="00406876">
        <w:t xml:space="preserve"> or sub</w:t>
      </w:r>
      <w:r w:rsidR="00E92AB5">
        <w:t>-</w:t>
      </w:r>
      <w:r w:rsidR="00406876">
        <w:t>daily</w:t>
      </w:r>
      <w:r w:rsidR="0034052A">
        <w:t xml:space="preserve"> concentrations provided in the Air Toxics Archive, </w:t>
      </w:r>
      <w:r w:rsidR="0034052A" w:rsidRPr="00E04749">
        <w:t>Phase X</w:t>
      </w:r>
      <w:r w:rsidR="00411B9C" w:rsidRPr="00E04749">
        <w:t>I</w:t>
      </w:r>
      <w:r w:rsidR="0034052A" w:rsidRPr="00E04749">
        <w:t xml:space="preserve"> is posted at </w:t>
      </w:r>
      <w:hyperlink r:id="rId10" w:anchor="data" w:history="1">
        <w:r w:rsidR="00E04749" w:rsidRPr="00E04749">
          <w:rPr>
            <w:rStyle w:val="Hyperlink"/>
            <w:color w:val="0070C0"/>
          </w:rPr>
          <w:t>https://www3.epa.gov/ttn/amtic/toxdat.html#data</w:t>
        </w:r>
      </w:hyperlink>
      <w:r w:rsidR="003A451F" w:rsidRPr="00E04749">
        <w:t xml:space="preserve">. </w:t>
      </w:r>
      <w:hyperlink r:id="rId11" w:history="1">
        <w:r w:rsidR="00E04749" w:rsidRPr="003D50DD">
          <w:rPr>
            <w:rStyle w:val="Hyperlink"/>
            <w:rFonts w:asciiTheme="minorHAnsi" w:hAnsiTheme="minorHAnsi" w:cstheme="minorBidi"/>
            <w:color w:val="0070C0"/>
            <w:shd w:val="clear" w:color="auto" w:fill="FFFFFF"/>
          </w:rPr>
          <w:t>Data Dictionary (zip file)</w:t>
        </w:r>
      </w:hyperlink>
      <w:r w:rsidR="00E04749" w:rsidRPr="003D50DD">
        <w:rPr>
          <w:rStyle w:val="apple-converted-space"/>
          <w:rFonts w:asciiTheme="minorHAnsi" w:hAnsiTheme="minorHAnsi" w:cstheme="minorBidi"/>
          <w:shd w:val="clear" w:color="auto" w:fill="FFFFFF"/>
        </w:rPr>
        <w:t> </w:t>
      </w:r>
      <w:r w:rsidR="00E04749" w:rsidRPr="003D50DD">
        <w:rPr>
          <w:rFonts w:asciiTheme="minorHAnsi" w:hAnsiTheme="minorHAnsi" w:cstheme="minorBidi"/>
          <w:shd w:val="clear" w:color="auto" w:fill="FFFFFF"/>
        </w:rPr>
        <w:t>is also available to provide additional data descriptions. The</w:t>
      </w:r>
      <w:r w:rsidR="00E04749" w:rsidRPr="003D50DD">
        <w:rPr>
          <w:rStyle w:val="apple-converted-space"/>
          <w:rFonts w:asciiTheme="minorHAnsi" w:hAnsiTheme="minorHAnsi" w:cstheme="minorBidi"/>
          <w:shd w:val="clear" w:color="auto" w:fill="FFFFFF"/>
        </w:rPr>
        <w:t> </w:t>
      </w:r>
      <w:hyperlink r:id="rId12" w:history="1">
        <w:r w:rsidR="00E04749" w:rsidRPr="003D50DD">
          <w:rPr>
            <w:rStyle w:val="Hyperlink"/>
            <w:rFonts w:asciiTheme="minorHAnsi" w:hAnsiTheme="minorHAnsi" w:cstheme="minorBidi"/>
            <w:color w:val="0070C0"/>
            <w:shd w:val="clear" w:color="auto" w:fill="FFFFFF"/>
          </w:rPr>
          <w:t>technical memorandum (PDF)</w:t>
        </w:r>
      </w:hyperlink>
      <w:r w:rsidR="00E04749" w:rsidRPr="003D50DD">
        <w:rPr>
          <w:rStyle w:val="apple-converted-space"/>
          <w:rFonts w:asciiTheme="minorHAnsi" w:hAnsiTheme="minorHAnsi" w:cstheme="minorBidi"/>
          <w:shd w:val="clear" w:color="auto" w:fill="FFFFFF"/>
        </w:rPr>
        <w:t> </w:t>
      </w:r>
      <w:r w:rsidR="00E04749" w:rsidRPr="003D50DD">
        <w:rPr>
          <w:rStyle w:val="fileinfo"/>
          <w:rFonts w:asciiTheme="minorHAnsi" w:hAnsiTheme="minorHAnsi" w:cstheme="minorBidi"/>
          <w:shd w:val="clear" w:color="auto" w:fill="FFFFFF"/>
        </w:rPr>
        <w:t>(29pp, 276k)</w:t>
      </w:r>
      <w:r w:rsidR="00E04749" w:rsidRPr="003D50DD">
        <w:rPr>
          <w:rStyle w:val="apple-converted-space"/>
          <w:rFonts w:asciiTheme="minorHAnsi" w:hAnsiTheme="minorHAnsi" w:cstheme="minorBidi"/>
          <w:shd w:val="clear" w:color="auto" w:fill="FFFFFF"/>
        </w:rPr>
        <w:t> </w:t>
      </w:r>
      <w:r w:rsidR="00E04749" w:rsidRPr="003D50DD">
        <w:rPr>
          <w:rFonts w:asciiTheme="minorHAnsi" w:hAnsiTheme="minorHAnsi" w:cstheme="minorBidi"/>
          <w:shd w:val="clear" w:color="auto" w:fill="FFFFFF"/>
        </w:rPr>
        <w:t>documenting the compilation of this archive is also available.</w:t>
      </w:r>
    </w:p>
    <w:p w14:paraId="3BA735C5" w14:textId="77777777" w:rsidR="00E04749" w:rsidRDefault="00E04749" w:rsidP="0034052A"/>
    <w:p w14:paraId="7093663F" w14:textId="7BD97FB4" w:rsidR="00712644" w:rsidRDefault="0034052A" w:rsidP="0034052A">
      <w:r>
        <w:t>Most of the daily</w:t>
      </w:r>
      <w:r w:rsidR="00712644">
        <w:t xml:space="preserve"> or sub-daily</w:t>
      </w:r>
      <w:r>
        <w:t xml:space="preserve"> data in the Air Toxics Archive</w:t>
      </w:r>
      <w:r w:rsidR="00DE413B">
        <w:t xml:space="preserve"> used to develop these trends</w:t>
      </w:r>
      <w:r>
        <w:t xml:space="preserve"> </w:t>
      </w:r>
      <w:r w:rsidR="00800F8C">
        <w:t>we</w:t>
      </w:r>
      <w:r>
        <w:t>re obtained from the Air Quality System; in some cases</w:t>
      </w:r>
      <w:r w:rsidR="00E92AB5">
        <w:t>,</w:t>
      </w:r>
      <w:r>
        <w:t xml:space="preserve"> where data were not reported to AQS, they were obtained directly from the state agency collecting the data. </w:t>
      </w:r>
      <w:r w:rsidR="00B92D4B">
        <w:t>Sub-daily or daily d</w:t>
      </w:r>
      <w:r>
        <w:t xml:space="preserve">ata from </w:t>
      </w:r>
      <w:r w:rsidR="00411B9C">
        <w:t>multiple monitors at the site</w:t>
      </w:r>
      <w:r w:rsidR="00712644">
        <w:t xml:space="preserve"> </w:t>
      </w:r>
      <w:r w:rsidR="00411B9C">
        <w:t xml:space="preserve">were averaged </w:t>
      </w:r>
      <w:r w:rsidR="00CD5FD2">
        <w:t>if</w:t>
      </w:r>
      <w:r w:rsidR="00411B9C">
        <w:t xml:space="preserve"> they used the same monitoring averaging time (e.g., 1 hour, 3 hour or 24-hour). Most of the data </w:t>
      </w:r>
      <w:r w:rsidR="00712644">
        <w:t>use</w:t>
      </w:r>
      <w:r w:rsidR="00DE413B">
        <w:t>d for trends utilize</w:t>
      </w:r>
      <w:r w:rsidR="00712644">
        <w:t xml:space="preserve"> 24-hour averaging times.</w:t>
      </w:r>
      <w:r w:rsidR="00B92D4B">
        <w:t xml:space="preserve">  </w:t>
      </w:r>
    </w:p>
    <w:p w14:paraId="1822D782" w14:textId="0BB254DF" w:rsidR="00406876" w:rsidRDefault="00406876" w:rsidP="0034052A"/>
    <w:p w14:paraId="43004E19" w14:textId="631A8C48" w:rsidR="0034052A" w:rsidRPr="00ED3A76" w:rsidRDefault="00406876" w:rsidP="005B65CA">
      <w:pPr>
        <w:pStyle w:val="Heading4"/>
      </w:pPr>
      <w:r>
        <w:t>C</w:t>
      </w:r>
      <w:r w:rsidR="00025807">
        <w:t>omputing Site Annual Means</w:t>
      </w:r>
    </w:p>
    <w:p w14:paraId="43004E1A" w14:textId="13C162C6" w:rsidR="0034052A" w:rsidRDefault="0034052A" w:rsidP="0034052A">
      <w:r>
        <w:t>To compute an annual mean</w:t>
      </w:r>
      <w:r w:rsidR="00DE413B">
        <w:t xml:space="preserve"> at a specific site</w:t>
      </w:r>
      <w:r>
        <w:t xml:space="preserve">, data </w:t>
      </w:r>
      <w:r w:rsidR="00953552">
        <w:t xml:space="preserve">needed </w:t>
      </w:r>
      <w:r>
        <w:t>to meet 7</w:t>
      </w:r>
      <w:r w:rsidR="00B92D4B">
        <w:t>0</w:t>
      </w:r>
      <w:r>
        <w:t>% completeness. </w:t>
      </w:r>
      <w:r w:rsidR="003A451F">
        <w:t xml:space="preserve"> Site-pollutant-year combinations that did not meet the completeness criteria were excluded from the trend.</w:t>
      </w:r>
      <w:r>
        <w:t xml:space="preserve"> For </w:t>
      </w:r>
      <w:r w:rsidR="00B92D4B">
        <w:t>1-in-</w:t>
      </w:r>
      <w:r w:rsidR="0037134C">
        <w:t>12-day</w:t>
      </w:r>
      <w:r w:rsidR="00B92D4B">
        <w:t xml:space="preserve"> data, at least 6 daily averages are needed in a quarter, for </w:t>
      </w:r>
      <w:r>
        <w:t>1-in-</w:t>
      </w:r>
      <w:proofErr w:type="gramStart"/>
      <w:r>
        <w:t>6 day</w:t>
      </w:r>
      <w:proofErr w:type="gramEnd"/>
      <w:r>
        <w:t xml:space="preserve"> data, at least 1</w:t>
      </w:r>
      <w:r w:rsidR="00B92D4B">
        <w:t>1</w:t>
      </w:r>
      <w:r>
        <w:t xml:space="preserve"> </w:t>
      </w:r>
      <w:r w:rsidR="00B92D4B">
        <w:t xml:space="preserve">were needed, </w:t>
      </w:r>
      <w:r>
        <w:t xml:space="preserve">and for 1-in-3 day data, at least </w:t>
      </w:r>
      <w:r w:rsidR="00B92D4B">
        <w:t>21</w:t>
      </w:r>
      <w:r>
        <w:t xml:space="preserve"> measurements were needed. </w:t>
      </w:r>
      <w:r w:rsidR="00953552">
        <w:t>A</w:t>
      </w:r>
      <w:r>
        <w:t>t least 3 complete quarters of data per year</w:t>
      </w:r>
      <w:r w:rsidR="00953552">
        <w:t xml:space="preserve"> were required</w:t>
      </w:r>
      <w:r>
        <w:t>. For monitors that met the 7</w:t>
      </w:r>
      <w:r w:rsidR="00DE413B">
        <w:t>0</w:t>
      </w:r>
      <w:r>
        <w:t>% completeness criteria, all data were used to compute the annual mean. Data below MDL were used as-is. Data that were flagged as</w:t>
      </w:r>
      <w:r w:rsidR="00DF5259">
        <w:t xml:space="preserve"> </w:t>
      </w:r>
      <w:proofErr w:type="spellStart"/>
      <w:proofErr w:type="gramStart"/>
      <w:r w:rsidR="0043230F">
        <w:t>non detect</w:t>
      </w:r>
      <w:proofErr w:type="spellEnd"/>
      <w:proofErr w:type="gramEnd"/>
      <w:r w:rsidR="00DF5259">
        <w:t xml:space="preserve"> (</w:t>
      </w:r>
      <w:r>
        <w:t>“ND”</w:t>
      </w:r>
      <w:r w:rsidR="00DF5259">
        <w:t>)</w:t>
      </w:r>
      <w:r>
        <w:t xml:space="preserve"> that were reported as 0 were not used as-is, but rather were imputed via a Regression-on-Order Statistics (ROS) approach. </w:t>
      </w:r>
      <w:r w:rsidR="000F506B">
        <w:t>T</w:t>
      </w:r>
      <w:r>
        <w:t xml:space="preserve">he ROS Routine </w:t>
      </w:r>
      <w:r w:rsidR="000F506B">
        <w:t xml:space="preserve">was used </w:t>
      </w:r>
      <w:r>
        <w:t>in the NADA R-package (</w:t>
      </w:r>
      <w:hyperlink r:id="rId13" w:history="1">
        <w:r>
          <w:rPr>
            <w:rStyle w:val="Hyperlink"/>
          </w:rPr>
          <w:t>https://cran.r-project.org/web/packages/NADA/NADA.pdf</w:t>
        </w:r>
      </w:hyperlink>
      <w:r>
        <w:t xml:space="preserve"> ) to estimate annual means. This is a semi-parametric procedure which imputes data that are below detection, or “censored” data, combines with the uncensored data, and computes the annual statistics. In this approach, </w:t>
      </w:r>
      <w:r>
        <w:rPr>
          <w:color w:val="000000"/>
          <w:shd w:val="clear" w:color="auto" w:fill="FFFFFF"/>
        </w:rPr>
        <w:t>a linear regression is formed using the plotting positions of the uncensored observations and their normal quantiles. This model is then used to estimate the concentration of the censored observations as a function of their normal quantiles.</w:t>
      </w:r>
      <w:r>
        <w:rPr>
          <w:rFonts w:ascii="Helvetica" w:hAnsi="Helvetica" w:cs="Helvetica"/>
          <w:color w:val="000000"/>
          <w:sz w:val="21"/>
          <w:szCs w:val="21"/>
          <w:shd w:val="clear" w:color="auto" w:fill="FFFFFF"/>
        </w:rPr>
        <w:t xml:space="preserve"> </w:t>
      </w:r>
      <w:r>
        <w:t>Because we did not have the detection limit below which data were flagged as “ND”, the minimum value reported for the year as the “censor” value</w:t>
      </w:r>
      <w:r w:rsidR="000F506B">
        <w:t xml:space="preserve"> was used</w:t>
      </w:r>
      <w:r>
        <w:t>.  This value is input into the NADA “</w:t>
      </w:r>
      <w:proofErr w:type="spellStart"/>
      <w:r>
        <w:t>cenros</w:t>
      </w:r>
      <w:proofErr w:type="spellEnd"/>
      <w:r>
        <w:t>” function. While the data include method detection limits (MDLs), there were data reported below the detection limit, so the MDL, which exceeded the minimum uncensored value reported for the year, could not be used as the detection limit for the NADA routine. An annual mean was not computed if more than 80% of the data were “ND”.</w:t>
      </w:r>
      <w:r w:rsidR="008F6E63">
        <w:t xml:space="preserve">  </w:t>
      </w:r>
    </w:p>
    <w:p w14:paraId="25FF9578" w14:textId="5915E13A" w:rsidR="008F6E63" w:rsidRDefault="008F6E63" w:rsidP="0034052A"/>
    <w:p w14:paraId="376E5699" w14:textId="0C3B3EE7" w:rsidR="008F6E63" w:rsidRDefault="008F6E63" w:rsidP="0034052A">
      <w:r>
        <w:t xml:space="preserve">For some sites and years, there </w:t>
      </w:r>
      <w:r w:rsidR="003A451F">
        <w:t xml:space="preserve">were </w:t>
      </w:r>
      <w:r>
        <w:t xml:space="preserve">sufficient data to compute two separate annual means reflecting sufficient data completeness for two different averaging times; for example, 1 hour and 24-hour data at the same site. </w:t>
      </w:r>
      <w:r w:rsidR="0001463F" w:rsidRPr="0001463F">
        <w:t>If this occurred at NATTS sites, the annual mean from the 24-hour data was used since only the 24-hour data are associated with the NATTS program. At other (non-NATTS) sites, the annual mean for the site was computed as the average of the two separate annual means.</w:t>
      </w:r>
    </w:p>
    <w:p w14:paraId="43004E1B" w14:textId="28CA3386" w:rsidR="0034052A" w:rsidRDefault="0034052A" w:rsidP="0034052A"/>
    <w:p w14:paraId="50355E72" w14:textId="0E401017" w:rsidR="00DF5259" w:rsidRDefault="00AC2CA2" w:rsidP="0034052A">
      <w:r>
        <w:t>The below table shows the air toxics covered</w:t>
      </w:r>
      <w:r w:rsidR="00C71341">
        <w:t xml:space="preserve"> and the years included</w:t>
      </w:r>
      <w:r>
        <w:t xml:space="preserve">. </w:t>
      </w:r>
      <w:r w:rsidR="000F506B">
        <w:t xml:space="preserve">EPA </w:t>
      </w:r>
      <w:r>
        <w:t xml:space="preserve">selected the air toxics </w:t>
      </w:r>
      <w:r w:rsidR="00C71341">
        <w:t>required</w:t>
      </w:r>
      <w:r>
        <w:t xml:space="preserve"> at the NATTS, other than acrolein</w:t>
      </w:r>
      <w:r w:rsidR="00C71341">
        <w:t xml:space="preserve">. Acrolein </w:t>
      </w:r>
      <w:r>
        <w:t xml:space="preserve">does not have sufficient data for trends due to sampling/analysis issues. </w:t>
      </w:r>
      <w:r w:rsidR="00075C71">
        <w:t>A</w:t>
      </w:r>
      <w:r>
        <w:t xml:space="preserve">dditional air </w:t>
      </w:r>
      <w:r w:rsidR="00C71341">
        <w:t>toxics that</w:t>
      </w:r>
      <w:r>
        <w:t xml:space="preserve"> come from the same t</w:t>
      </w:r>
      <w:r w:rsidR="00C71341">
        <w:t xml:space="preserve">ypes of sources as the NATTS pollutants </w:t>
      </w:r>
      <w:r w:rsidR="00075C71">
        <w:t xml:space="preserve">were included </w:t>
      </w:r>
      <w:r w:rsidR="00C71341">
        <w:t xml:space="preserve">such as toluene and ethyl benzene.  </w:t>
      </w:r>
      <w:r w:rsidR="0099543A">
        <w:t>Except at NATTS, there is not a consistent set of air toxics pollutants measured at all sites that measure air toxics</w:t>
      </w:r>
      <w:r w:rsidR="00C71341">
        <w:t xml:space="preserve">. </w:t>
      </w:r>
    </w:p>
    <w:p w14:paraId="11B480CE" w14:textId="77777777" w:rsidR="00DF5259" w:rsidRDefault="00DF5259" w:rsidP="0034052A"/>
    <w:p w14:paraId="2FD02540" w14:textId="29CEBD7A" w:rsidR="0099543A" w:rsidRDefault="00DF5259" w:rsidP="0034052A">
      <w:r>
        <w:t>The table also shows the number of sites used for computing the national statistics (10</w:t>
      </w:r>
      <w:r w:rsidRPr="009666F7">
        <w:rPr>
          <w:vertAlign w:val="superscript"/>
        </w:rPr>
        <w:t>th</w:t>
      </w:r>
      <w:r w:rsidR="00C878D4" w:rsidRPr="00C878D4">
        <w:t>,</w:t>
      </w:r>
      <w:r w:rsidRPr="00C878D4">
        <w:t xml:space="preserve"> </w:t>
      </w:r>
      <w:r>
        <w:t>50</w:t>
      </w:r>
      <w:r w:rsidRPr="009666F7">
        <w:rPr>
          <w:vertAlign w:val="superscript"/>
        </w:rPr>
        <w:t>th</w:t>
      </w:r>
      <w:r>
        <w:t xml:space="preserve"> and 90</w:t>
      </w:r>
      <w:r w:rsidRPr="009666F7">
        <w:rPr>
          <w:vertAlign w:val="superscript"/>
        </w:rPr>
        <w:t>th</w:t>
      </w:r>
      <w:r>
        <w:t xml:space="preserve"> </w:t>
      </w:r>
      <w:r w:rsidRPr="009666F7">
        <w:t>percentile</w:t>
      </w:r>
      <w:r>
        <w:t xml:space="preserve">s) shown on the charts.  </w:t>
      </w:r>
      <w:r w:rsidR="00225020">
        <w:t xml:space="preserve">The eligibility for a site to be used for the national statistics is described </w:t>
      </w:r>
      <w:hyperlink w:anchor="_Aggregating_Site_Trends" w:history="1">
        <w:r w:rsidR="00225020" w:rsidRPr="00225020">
          <w:rPr>
            <w:rStyle w:val="Hyperlink"/>
          </w:rPr>
          <w:t>bel</w:t>
        </w:r>
        <w:bookmarkStart w:id="0" w:name="_GoBack"/>
        <w:bookmarkEnd w:id="0"/>
        <w:r w:rsidR="00225020" w:rsidRPr="00225020">
          <w:rPr>
            <w:rStyle w:val="Hyperlink"/>
          </w:rPr>
          <w:t>ow</w:t>
        </w:r>
      </w:hyperlink>
      <w:r w:rsidR="00225020">
        <w:t>.</w:t>
      </w:r>
    </w:p>
    <w:p w14:paraId="6F827693" w14:textId="7798192B" w:rsidR="0099543A" w:rsidRDefault="0099543A" w:rsidP="0034052A"/>
    <w:tbl>
      <w:tblPr>
        <w:tblStyle w:val="TableGrid"/>
        <w:tblW w:w="8590" w:type="dxa"/>
        <w:tblLook w:val="04A0" w:firstRow="1" w:lastRow="0" w:firstColumn="1" w:lastColumn="0" w:noHBand="0" w:noVBand="1"/>
      </w:tblPr>
      <w:tblGrid>
        <w:gridCol w:w="1359"/>
        <w:gridCol w:w="3329"/>
        <w:gridCol w:w="622"/>
        <w:gridCol w:w="864"/>
        <w:gridCol w:w="1212"/>
        <w:gridCol w:w="1204"/>
      </w:tblGrid>
      <w:tr w:rsidR="00C71341" w:rsidRPr="0099543A" w14:paraId="460176DB" w14:textId="5D505C53" w:rsidTr="00F32B0A">
        <w:trPr>
          <w:trHeight w:val="288"/>
        </w:trPr>
        <w:tc>
          <w:tcPr>
            <w:tcW w:w="1345" w:type="dxa"/>
            <w:noWrap/>
            <w:vAlign w:val="center"/>
            <w:hideMark/>
          </w:tcPr>
          <w:p w14:paraId="73F0965A" w14:textId="77777777" w:rsidR="00AC675A" w:rsidRPr="00F32B0A" w:rsidRDefault="00C71341" w:rsidP="00F32B0A">
            <w:pPr>
              <w:jc w:val="center"/>
              <w:rPr>
                <w:b/>
                <w:color w:val="000000"/>
              </w:rPr>
            </w:pPr>
            <w:r w:rsidRPr="00F32B0A">
              <w:rPr>
                <w:b/>
                <w:color w:val="000000"/>
              </w:rPr>
              <w:t>AQS_</w:t>
            </w:r>
          </w:p>
          <w:p w14:paraId="645702A0" w14:textId="77777777" w:rsidR="00AC675A" w:rsidRPr="00F32B0A" w:rsidRDefault="00C71341" w:rsidP="00F32B0A">
            <w:pPr>
              <w:jc w:val="center"/>
              <w:rPr>
                <w:b/>
                <w:color w:val="000000"/>
              </w:rPr>
            </w:pPr>
            <w:r w:rsidRPr="00F32B0A">
              <w:rPr>
                <w:b/>
                <w:color w:val="000000"/>
              </w:rPr>
              <w:t>PARAMETER_</w:t>
            </w:r>
          </w:p>
          <w:p w14:paraId="1F0198D8" w14:textId="7E322233" w:rsidR="00C71341" w:rsidRPr="00F32B0A" w:rsidRDefault="00C71341" w:rsidP="00F32B0A">
            <w:pPr>
              <w:jc w:val="center"/>
              <w:rPr>
                <w:b/>
                <w:color w:val="000000"/>
              </w:rPr>
            </w:pPr>
            <w:r w:rsidRPr="00F32B0A">
              <w:rPr>
                <w:b/>
                <w:color w:val="000000"/>
              </w:rPr>
              <w:t>CODE</w:t>
            </w:r>
          </w:p>
        </w:tc>
        <w:tc>
          <w:tcPr>
            <w:tcW w:w="3329" w:type="dxa"/>
            <w:noWrap/>
            <w:vAlign w:val="center"/>
            <w:hideMark/>
          </w:tcPr>
          <w:p w14:paraId="1B514D78" w14:textId="77777777" w:rsidR="00C71341" w:rsidRPr="00F32B0A" w:rsidRDefault="00C71341" w:rsidP="00F32B0A">
            <w:pPr>
              <w:jc w:val="center"/>
              <w:rPr>
                <w:b/>
                <w:color w:val="000000"/>
              </w:rPr>
            </w:pPr>
            <w:r w:rsidRPr="00F32B0A">
              <w:rPr>
                <w:b/>
                <w:color w:val="000000"/>
              </w:rPr>
              <w:t>AQS_PARAMETER_NAME</w:t>
            </w:r>
          </w:p>
        </w:tc>
        <w:tc>
          <w:tcPr>
            <w:tcW w:w="622" w:type="dxa"/>
            <w:noWrap/>
            <w:vAlign w:val="center"/>
            <w:hideMark/>
          </w:tcPr>
          <w:p w14:paraId="1915B483" w14:textId="77777777" w:rsidR="00C71341" w:rsidRPr="00F32B0A" w:rsidRDefault="00C71341" w:rsidP="00F32B0A">
            <w:pPr>
              <w:jc w:val="center"/>
              <w:rPr>
                <w:b/>
                <w:color w:val="000000"/>
              </w:rPr>
            </w:pPr>
            <w:r w:rsidRPr="00F32B0A">
              <w:rPr>
                <w:b/>
                <w:color w:val="000000"/>
              </w:rPr>
              <w:t>start year</w:t>
            </w:r>
          </w:p>
        </w:tc>
        <w:tc>
          <w:tcPr>
            <w:tcW w:w="864" w:type="dxa"/>
            <w:noWrap/>
            <w:vAlign w:val="center"/>
            <w:hideMark/>
          </w:tcPr>
          <w:p w14:paraId="70BAB6BD" w14:textId="77777777" w:rsidR="00C71341" w:rsidRPr="00F32B0A" w:rsidRDefault="00C71341" w:rsidP="00F32B0A">
            <w:pPr>
              <w:jc w:val="center"/>
              <w:rPr>
                <w:b/>
                <w:color w:val="000000"/>
              </w:rPr>
            </w:pPr>
            <w:r w:rsidRPr="00F32B0A">
              <w:rPr>
                <w:b/>
                <w:color w:val="000000"/>
              </w:rPr>
              <w:t>end year</w:t>
            </w:r>
          </w:p>
        </w:tc>
        <w:tc>
          <w:tcPr>
            <w:tcW w:w="1215" w:type="dxa"/>
            <w:vAlign w:val="center"/>
          </w:tcPr>
          <w:p w14:paraId="03C184A2" w14:textId="70A7AE3B" w:rsidR="00C71341" w:rsidRPr="00F32B0A" w:rsidRDefault="00C71341" w:rsidP="00F32B0A">
            <w:pPr>
              <w:jc w:val="center"/>
              <w:rPr>
                <w:b/>
                <w:color w:val="000000"/>
                <w:vertAlign w:val="superscript"/>
              </w:rPr>
            </w:pPr>
            <w:r w:rsidRPr="00F32B0A">
              <w:rPr>
                <w:b/>
                <w:color w:val="000000"/>
              </w:rPr>
              <w:t xml:space="preserve">NATTS </w:t>
            </w:r>
            <w:proofErr w:type="spellStart"/>
            <w:proofErr w:type="gramStart"/>
            <w:r w:rsidRPr="00F32B0A">
              <w:rPr>
                <w:b/>
                <w:color w:val="000000"/>
              </w:rPr>
              <w:t>Required?</w:t>
            </w:r>
            <w:r w:rsidRPr="00F32B0A">
              <w:rPr>
                <w:b/>
                <w:color w:val="000000"/>
                <w:vertAlign w:val="superscript"/>
              </w:rPr>
              <w:t>a</w:t>
            </w:r>
            <w:proofErr w:type="spellEnd"/>
            <w:proofErr w:type="gramEnd"/>
          </w:p>
        </w:tc>
        <w:tc>
          <w:tcPr>
            <w:tcW w:w="1215" w:type="dxa"/>
            <w:vAlign w:val="center"/>
          </w:tcPr>
          <w:p w14:paraId="6EF2B2C4" w14:textId="4F808A51" w:rsidR="00C71341" w:rsidRPr="00F32B0A" w:rsidRDefault="00C71341" w:rsidP="00703A10">
            <w:pPr>
              <w:jc w:val="center"/>
              <w:rPr>
                <w:b/>
                <w:color w:val="000000"/>
              </w:rPr>
            </w:pPr>
            <w:r w:rsidRPr="00F32B0A">
              <w:rPr>
                <w:b/>
                <w:color w:val="000000"/>
              </w:rPr>
              <w:t xml:space="preserve">Number of Sites </w:t>
            </w:r>
            <w:r w:rsidR="00703A10">
              <w:rPr>
                <w:b/>
                <w:color w:val="000000"/>
              </w:rPr>
              <w:t>Used for the national trend</w:t>
            </w:r>
          </w:p>
        </w:tc>
      </w:tr>
      <w:tr w:rsidR="00C71341" w:rsidRPr="0099543A" w14:paraId="355F7D7D" w14:textId="6FC10881" w:rsidTr="00F32B0A">
        <w:trPr>
          <w:trHeight w:val="288"/>
        </w:trPr>
        <w:tc>
          <w:tcPr>
            <w:tcW w:w="1345" w:type="dxa"/>
            <w:noWrap/>
            <w:vAlign w:val="center"/>
            <w:hideMark/>
          </w:tcPr>
          <w:p w14:paraId="413995B0" w14:textId="77777777" w:rsidR="00C71341" w:rsidRPr="0099543A" w:rsidRDefault="00C71341" w:rsidP="00F32B0A">
            <w:pPr>
              <w:jc w:val="center"/>
              <w:rPr>
                <w:color w:val="000000"/>
              </w:rPr>
            </w:pPr>
            <w:r w:rsidRPr="0099543A">
              <w:rPr>
                <w:color w:val="000000"/>
              </w:rPr>
              <w:t>14115</w:t>
            </w:r>
          </w:p>
        </w:tc>
        <w:tc>
          <w:tcPr>
            <w:tcW w:w="3329" w:type="dxa"/>
            <w:noWrap/>
            <w:vAlign w:val="center"/>
            <w:hideMark/>
          </w:tcPr>
          <w:p w14:paraId="59304A84" w14:textId="77777777" w:rsidR="00C71341" w:rsidRPr="0099543A" w:rsidRDefault="00C71341" w:rsidP="00F32B0A">
            <w:pPr>
              <w:rPr>
                <w:color w:val="000000"/>
              </w:rPr>
            </w:pPr>
            <w:r w:rsidRPr="0099543A">
              <w:rPr>
                <w:color w:val="000000"/>
              </w:rPr>
              <w:t>Chromium VI (LC)</w:t>
            </w:r>
          </w:p>
        </w:tc>
        <w:tc>
          <w:tcPr>
            <w:tcW w:w="622" w:type="dxa"/>
            <w:noWrap/>
            <w:vAlign w:val="center"/>
            <w:hideMark/>
          </w:tcPr>
          <w:p w14:paraId="2CA79208" w14:textId="77777777" w:rsidR="00C71341" w:rsidRPr="0099543A" w:rsidRDefault="00C71341" w:rsidP="00F32B0A">
            <w:pPr>
              <w:jc w:val="center"/>
              <w:rPr>
                <w:color w:val="000000"/>
              </w:rPr>
            </w:pPr>
            <w:r w:rsidRPr="0099543A">
              <w:rPr>
                <w:color w:val="000000"/>
              </w:rPr>
              <w:t>2005</w:t>
            </w:r>
          </w:p>
        </w:tc>
        <w:tc>
          <w:tcPr>
            <w:tcW w:w="864" w:type="dxa"/>
            <w:noWrap/>
            <w:vAlign w:val="center"/>
            <w:hideMark/>
          </w:tcPr>
          <w:p w14:paraId="3399FBD9" w14:textId="77777777" w:rsidR="00C71341" w:rsidRPr="0099543A" w:rsidRDefault="00C71341" w:rsidP="00F32B0A">
            <w:pPr>
              <w:jc w:val="center"/>
              <w:rPr>
                <w:color w:val="000000"/>
              </w:rPr>
            </w:pPr>
            <w:r w:rsidRPr="0099543A">
              <w:rPr>
                <w:color w:val="000000"/>
              </w:rPr>
              <w:t>2012</w:t>
            </w:r>
          </w:p>
        </w:tc>
        <w:tc>
          <w:tcPr>
            <w:tcW w:w="1215" w:type="dxa"/>
            <w:vAlign w:val="center"/>
          </w:tcPr>
          <w:p w14:paraId="41AA0275" w14:textId="72D4DC3A" w:rsidR="00C71341" w:rsidRPr="0099543A" w:rsidRDefault="00C71341" w:rsidP="00F32B0A">
            <w:pPr>
              <w:jc w:val="center"/>
              <w:rPr>
                <w:color w:val="000000"/>
              </w:rPr>
            </w:pPr>
          </w:p>
        </w:tc>
        <w:tc>
          <w:tcPr>
            <w:tcW w:w="1215" w:type="dxa"/>
            <w:vAlign w:val="center"/>
          </w:tcPr>
          <w:p w14:paraId="5B702E14" w14:textId="7FAB32D8" w:rsidR="00C71341" w:rsidRPr="0099543A" w:rsidRDefault="00C71341" w:rsidP="00F32B0A">
            <w:pPr>
              <w:jc w:val="center"/>
              <w:rPr>
                <w:color w:val="000000"/>
              </w:rPr>
            </w:pPr>
            <w:r>
              <w:rPr>
                <w:color w:val="000000"/>
              </w:rPr>
              <w:t>20</w:t>
            </w:r>
          </w:p>
        </w:tc>
      </w:tr>
      <w:tr w:rsidR="00C71341" w:rsidRPr="0099543A" w14:paraId="537BF972" w14:textId="79A4A0C9" w:rsidTr="00F32B0A">
        <w:trPr>
          <w:trHeight w:val="288"/>
        </w:trPr>
        <w:tc>
          <w:tcPr>
            <w:tcW w:w="1345" w:type="dxa"/>
            <w:noWrap/>
            <w:vAlign w:val="center"/>
            <w:hideMark/>
          </w:tcPr>
          <w:p w14:paraId="2B5DED18" w14:textId="77777777" w:rsidR="00C71341" w:rsidRPr="0099543A" w:rsidRDefault="00C71341" w:rsidP="00F32B0A">
            <w:pPr>
              <w:jc w:val="center"/>
              <w:rPr>
                <w:color w:val="000000"/>
              </w:rPr>
            </w:pPr>
            <w:r w:rsidRPr="0099543A">
              <w:rPr>
                <w:color w:val="000000"/>
              </w:rPr>
              <w:t>17141</w:t>
            </w:r>
          </w:p>
        </w:tc>
        <w:tc>
          <w:tcPr>
            <w:tcW w:w="3329" w:type="dxa"/>
            <w:noWrap/>
            <w:vAlign w:val="center"/>
            <w:hideMark/>
          </w:tcPr>
          <w:p w14:paraId="4D5D6C89" w14:textId="77777777" w:rsidR="00C71341" w:rsidRPr="0099543A" w:rsidRDefault="00C71341" w:rsidP="00F32B0A">
            <w:pPr>
              <w:rPr>
                <w:color w:val="000000"/>
              </w:rPr>
            </w:pPr>
            <w:r w:rsidRPr="0099543A">
              <w:rPr>
                <w:color w:val="000000"/>
              </w:rPr>
              <w:t>Naphthalene (total tsp &amp; vapor)</w:t>
            </w:r>
          </w:p>
        </w:tc>
        <w:tc>
          <w:tcPr>
            <w:tcW w:w="622" w:type="dxa"/>
            <w:noWrap/>
            <w:vAlign w:val="center"/>
            <w:hideMark/>
          </w:tcPr>
          <w:p w14:paraId="1419B42A"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3921746B" w14:textId="77777777" w:rsidR="00C71341" w:rsidRPr="0099543A" w:rsidRDefault="00C71341" w:rsidP="00F32B0A">
            <w:pPr>
              <w:jc w:val="center"/>
              <w:rPr>
                <w:color w:val="000000"/>
              </w:rPr>
            </w:pPr>
            <w:r w:rsidRPr="0099543A">
              <w:rPr>
                <w:color w:val="000000"/>
              </w:rPr>
              <w:t>2015</w:t>
            </w:r>
          </w:p>
        </w:tc>
        <w:tc>
          <w:tcPr>
            <w:tcW w:w="1215" w:type="dxa"/>
            <w:vAlign w:val="center"/>
          </w:tcPr>
          <w:p w14:paraId="04F62C8E" w14:textId="6370D96F" w:rsidR="00C71341" w:rsidRPr="0099543A" w:rsidRDefault="00C71341" w:rsidP="00F32B0A">
            <w:pPr>
              <w:jc w:val="center"/>
              <w:rPr>
                <w:color w:val="000000"/>
              </w:rPr>
            </w:pPr>
            <w:r>
              <w:rPr>
                <w:color w:val="000000"/>
              </w:rPr>
              <w:t>X</w:t>
            </w:r>
          </w:p>
        </w:tc>
        <w:tc>
          <w:tcPr>
            <w:tcW w:w="1215" w:type="dxa"/>
            <w:vAlign w:val="center"/>
          </w:tcPr>
          <w:p w14:paraId="3BB931F6" w14:textId="59BECC03" w:rsidR="00C71341" w:rsidRDefault="007D26CE" w:rsidP="00F32B0A">
            <w:pPr>
              <w:jc w:val="center"/>
              <w:rPr>
                <w:color w:val="000000"/>
              </w:rPr>
            </w:pPr>
            <w:r>
              <w:rPr>
                <w:color w:val="000000"/>
              </w:rPr>
              <w:t>27</w:t>
            </w:r>
          </w:p>
        </w:tc>
      </w:tr>
      <w:tr w:rsidR="00C71341" w:rsidRPr="0099543A" w14:paraId="731B910E" w14:textId="4ABE766B" w:rsidTr="00F32B0A">
        <w:trPr>
          <w:trHeight w:val="288"/>
        </w:trPr>
        <w:tc>
          <w:tcPr>
            <w:tcW w:w="1345" w:type="dxa"/>
            <w:noWrap/>
            <w:vAlign w:val="center"/>
            <w:hideMark/>
          </w:tcPr>
          <w:p w14:paraId="561D7CAE" w14:textId="77777777" w:rsidR="00C71341" w:rsidRPr="0099543A" w:rsidRDefault="00C71341" w:rsidP="00F32B0A">
            <w:pPr>
              <w:jc w:val="center"/>
              <w:rPr>
                <w:color w:val="000000"/>
              </w:rPr>
            </w:pPr>
            <w:r w:rsidRPr="0099543A">
              <w:rPr>
                <w:color w:val="000000"/>
              </w:rPr>
              <w:t>17242</w:t>
            </w:r>
          </w:p>
        </w:tc>
        <w:tc>
          <w:tcPr>
            <w:tcW w:w="3329" w:type="dxa"/>
            <w:noWrap/>
            <w:vAlign w:val="center"/>
            <w:hideMark/>
          </w:tcPr>
          <w:p w14:paraId="4444F920" w14:textId="77777777" w:rsidR="00C71341" w:rsidRPr="0099543A" w:rsidRDefault="00C71341" w:rsidP="00F32B0A">
            <w:pPr>
              <w:rPr>
                <w:color w:val="000000"/>
              </w:rPr>
            </w:pPr>
            <w:r w:rsidRPr="0099543A">
              <w:rPr>
                <w:color w:val="000000"/>
              </w:rPr>
              <w:t>Benzo(a)pyrene (total tsp &amp; vapor)</w:t>
            </w:r>
          </w:p>
        </w:tc>
        <w:tc>
          <w:tcPr>
            <w:tcW w:w="622" w:type="dxa"/>
            <w:noWrap/>
            <w:vAlign w:val="center"/>
            <w:hideMark/>
          </w:tcPr>
          <w:p w14:paraId="25161944" w14:textId="77777777" w:rsidR="00C71341" w:rsidRPr="0099543A" w:rsidRDefault="00C71341" w:rsidP="00F32B0A">
            <w:pPr>
              <w:jc w:val="center"/>
              <w:rPr>
                <w:color w:val="000000"/>
              </w:rPr>
            </w:pPr>
            <w:r w:rsidRPr="0099543A">
              <w:rPr>
                <w:color w:val="000000"/>
              </w:rPr>
              <w:t>2008</w:t>
            </w:r>
          </w:p>
        </w:tc>
        <w:tc>
          <w:tcPr>
            <w:tcW w:w="864" w:type="dxa"/>
            <w:noWrap/>
            <w:vAlign w:val="center"/>
            <w:hideMark/>
          </w:tcPr>
          <w:p w14:paraId="5BD41AF8" w14:textId="77777777" w:rsidR="00C71341" w:rsidRPr="0099543A" w:rsidRDefault="00C71341" w:rsidP="00F32B0A">
            <w:pPr>
              <w:jc w:val="center"/>
              <w:rPr>
                <w:color w:val="000000"/>
              </w:rPr>
            </w:pPr>
            <w:r w:rsidRPr="0099543A">
              <w:rPr>
                <w:color w:val="000000"/>
              </w:rPr>
              <w:t>2015</w:t>
            </w:r>
          </w:p>
        </w:tc>
        <w:tc>
          <w:tcPr>
            <w:tcW w:w="1215" w:type="dxa"/>
            <w:vAlign w:val="center"/>
          </w:tcPr>
          <w:p w14:paraId="777CA8DB" w14:textId="6D94632E" w:rsidR="00C71341" w:rsidRPr="0099543A" w:rsidRDefault="00C71341" w:rsidP="00F32B0A">
            <w:pPr>
              <w:jc w:val="center"/>
              <w:rPr>
                <w:color w:val="000000"/>
              </w:rPr>
            </w:pPr>
            <w:r>
              <w:rPr>
                <w:color w:val="000000"/>
              </w:rPr>
              <w:t>X</w:t>
            </w:r>
          </w:p>
        </w:tc>
        <w:tc>
          <w:tcPr>
            <w:tcW w:w="1215" w:type="dxa"/>
            <w:vAlign w:val="center"/>
          </w:tcPr>
          <w:p w14:paraId="07D1CEBA" w14:textId="64C889CC" w:rsidR="00C71341" w:rsidRDefault="007D26CE" w:rsidP="00F32B0A">
            <w:pPr>
              <w:jc w:val="center"/>
              <w:rPr>
                <w:color w:val="000000"/>
              </w:rPr>
            </w:pPr>
            <w:r>
              <w:rPr>
                <w:color w:val="000000"/>
              </w:rPr>
              <w:t>20</w:t>
            </w:r>
          </w:p>
        </w:tc>
      </w:tr>
      <w:tr w:rsidR="00C71341" w:rsidRPr="0099543A" w14:paraId="50704366" w14:textId="16F45F9C" w:rsidTr="00F32B0A">
        <w:trPr>
          <w:trHeight w:val="288"/>
        </w:trPr>
        <w:tc>
          <w:tcPr>
            <w:tcW w:w="1345" w:type="dxa"/>
            <w:noWrap/>
            <w:vAlign w:val="center"/>
            <w:hideMark/>
          </w:tcPr>
          <w:p w14:paraId="0398B4AF" w14:textId="77777777" w:rsidR="00C71341" w:rsidRPr="0099543A" w:rsidRDefault="00C71341" w:rsidP="00F32B0A">
            <w:pPr>
              <w:jc w:val="center"/>
              <w:rPr>
                <w:color w:val="000000"/>
              </w:rPr>
            </w:pPr>
            <w:r w:rsidRPr="0099543A">
              <w:rPr>
                <w:color w:val="000000"/>
              </w:rPr>
              <w:t>43218</w:t>
            </w:r>
          </w:p>
        </w:tc>
        <w:tc>
          <w:tcPr>
            <w:tcW w:w="3329" w:type="dxa"/>
            <w:noWrap/>
            <w:vAlign w:val="center"/>
            <w:hideMark/>
          </w:tcPr>
          <w:p w14:paraId="145854F3" w14:textId="77777777" w:rsidR="00C71341" w:rsidRPr="0099543A" w:rsidRDefault="00C71341" w:rsidP="00F32B0A">
            <w:pPr>
              <w:rPr>
                <w:color w:val="000000"/>
              </w:rPr>
            </w:pPr>
            <w:r w:rsidRPr="0099543A">
              <w:rPr>
                <w:color w:val="000000"/>
              </w:rPr>
              <w:t>1,3-Butadiene</w:t>
            </w:r>
          </w:p>
        </w:tc>
        <w:tc>
          <w:tcPr>
            <w:tcW w:w="622" w:type="dxa"/>
            <w:noWrap/>
            <w:vAlign w:val="center"/>
            <w:hideMark/>
          </w:tcPr>
          <w:p w14:paraId="1BBFAAA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3034B66" w14:textId="77777777" w:rsidR="00C71341" w:rsidRPr="0099543A" w:rsidRDefault="00C71341" w:rsidP="00F32B0A">
            <w:pPr>
              <w:jc w:val="center"/>
              <w:rPr>
                <w:color w:val="000000"/>
              </w:rPr>
            </w:pPr>
            <w:r w:rsidRPr="0099543A">
              <w:rPr>
                <w:color w:val="000000"/>
              </w:rPr>
              <w:t>2015</w:t>
            </w:r>
          </w:p>
        </w:tc>
        <w:tc>
          <w:tcPr>
            <w:tcW w:w="1215" w:type="dxa"/>
            <w:vAlign w:val="center"/>
          </w:tcPr>
          <w:p w14:paraId="764A3BC7" w14:textId="6FD13AC5" w:rsidR="00C71341" w:rsidRPr="0099543A" w:rsidRDefault="00C71341" w:rsidP="00F32B0A">
            <w:pPr>
              <w:jc w:val="center"/>
              <w:rPr>
                <w:color w:val="000000"/>
              </w:rPr>
            </w:pPr>
            <w:r>
              <w:rPr>
                <w:color w:val="000000"/>
              </w:rPr>
              <w:t>X</w:t>
            </w:r>
          </w:p>
        </w:tc>
        <w:tc>
          <w:tcPr>
            <w:tcW w:w="1215" w:type="dxa"/>
            <w:vAlign w:val="center"/>
          </w:tcPr>
          <w:p w14:paraId="38049354" w14:textId="485A2292" w:rsidR="00C71341" w:rsidRDefault="007D26CE" w:rsidP="00F32B0A">
            <w:pPr>
              <w:jc w:val="center"/>
              <w:rPr>
                <w:color w:val="000000"/>
              </w:rPr>
            </w:pPr>
            <w:r>
              <w:rPr>
                <w:color w:val="000000"/>
              </w:rPr>
              <w:t>86</w:t>
            </w:r>
          </w:p>
        </w:tc>
      </w:tr>
      <w:tr w:rsidR="00C71341" w:rsidRPr="0099543A" w14:paraId="4DE936DE" w14:textId="2294C513" w:rsidTr="00F32B0A">
        <w:trPr>
          <w:trHeight w:val="288"/>
        </w:trPr>
        <w:tc>
          <w:tcPr>
            <w:tcW w:w="1345" w:type="dxa"/>
            <w:noWrap/>
            <w:vAlign w:val="center"/>
            <w:hideMark/>
          </w:tcPr>
          <w:p w14:paraId="7DD6747F" w14:textId="77777777" w:rsidR="00C71341" w:rsidRPr="0099543A" w:rsidRDefault="00C71341" w:rsidP="00F32B0A">
            <w:pPr>
              <w:jc w:val="center"/>
              <w:rPr>
                <w:color w:val="000000"/>
              </w:rPr>
            </w:pPr>
            <w:r w:rsidRPr="0099543A">
              <w:rPr>
                <w:color w:val="000000"/>
              </w:rPr>
              <w:lastRenderedPageBreak/>
              <w:t>43502</w:t>
            </w:r>
          </w:p>
        </w:tc>
        <w:tc>
          <w:tcPr>
            <w:tcW w:w="3329" w:type="dxa"/>
            <w:noWrap/>
            <w:vAlign w:val="center"/>
            <w:hideMark/>
          </w:tcPr>
          <w:p w14:paraId="2740212D" w14:textId="77777777" w:rsidR="00C71341" w:rsidRPr="0099543A" w:rsidRDefault="00C71341" w:rsidP="00F32B0A">
            <w:pPr>
              <w:rPr>
                <w:color w:val="000000"/>
              </w:rPr>
            </w:pPr>
            <w:r w:rsidRPr="0099543A">
              <w:rPr>
                <w:color w:val="000000"/>
              </w:rPr>
              <w:t>Formaldehyde</w:t>
            </w:r>
          </w:p>
        </w:tc>
        <w:tc>
          <w:tcPr>
            <w:tcW w:w="622" w:type="dxa"/>
            <w:noWrap/>
            <w:vAlign w:val="center"/>
            <w:hideMark/>
          </w:tcPr>
          <w:p w14:paraId="62458AB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0E6B638" w14:textId="77777777" w:rsidR="00C71341" w:rsidRPr="0099543A" w:rsidRDefault="00C71341" w:rsidP="00F32B0A">
            <w:pPr>
              <w:jc w:val="center"/>
              <w:rPr>
                <w:color w:val="000000"/>
              </w:rPr>
            </w:pPr>
            <w:r w:rsidRPr="0099543A">
              <w:rPr>
                <w:color w:val="000000"/>
              </w:rPr>
              <w:t>2015</w:t>
            </w:r>
          </w:p>
        </w:tc>
        <w:tc>
          <w:tcPr>
            <w:tcW w:w="1215" w:type="dxa"/>
            <w:vAlign w:val="center"/>
          </w:tcPr>
          <w:p w14:paraId="0552F21A" w14:textId="45BD19B4" w:rsidR="00C71341" w:rsidRPr="0099543A" w:rsidRDefault="00C71341" w:rsidP="00F32B0A">
            <w:pPr>
              <w:jc w:val="center"/>
              <w:rPr>
                <w:color w:val="000000"/>
              </w:rPr>
            </w:pPr>
            <w:r>
              <w:rPr>
                <w:color w:val="000000"/>
              </w:rPr>
              <w:t>X</w:t>
            </w:r>
          </w:p>
        </w:tc>
        <w:tc>
          <w:tcPr>
            <w:tcW w:w="1215" w:type="dxa"/>
            <w:vAlign w:val="center"/>
          </w:tcPr>
          <w:p w14:paraId="40592F49" w14:textId="1A53E38C" w:rsidR="00C71341" w:rsidRDefault="00AC675A" w:rsidP="00F32B0A">
            <w:pPr>
              <w:jc w:val="center"/>
              <w:rPr>
                <w:color w:val="000000"/>
              </w:rPr>
            </w:pPr>
            <w:r>
              <w:rPr>
                <w:color w:val="000000"/>
              </w:rPr>
              <w:t>67</w:t>
            </w:r>
          </w:p>
        </w:tc>
      </w:tr>
      <w:tr w:rsidR="00C71341" w:rsidRPr="0099543A" w14:paraId="1E2268ED" w14:textId="3877E501" w:rsidTr="00F32B0A">
        <w:trPr>
          <w:trHeight w:val="288"/>
        </w:trPr>
        <w:tc>
          <w:tcPr>
            <w:tcW w:w="1345" w:type="dxa"/>
            <w:noWrap/>
            <w:vAlign w:val="center"/>
            <w:hideMark/>
          </w:tcPr>
          <w:p w14:paraId="06EAC927" w14:textId="77777777" w:rsidR="00C71341" w:rsidRPr="0099543A" w:rsidRDefault="00C71341" w:rsidP="00F32B0A">
            <w:pPr>
              <w:jc w:val="center"/>
              <w:rPr>
                <w:color w:val="000000"/>
              </w:rPr>
            </w:pPr>
            <w:r w:rsidRPr="0099543A">
              <w:rPr>
                <w:color w:val="000000"/>
              </w:rPr>
              <w:t>43503</w:t>
            </w:r>
          </w:p>
        </w:tc>
        <w:tc>
          <w:tcPr>
            <w:tcW w:w="3329" w:type="dxa"/>
            <w:noWrap/>
            <w:vAlign w:val="center"/>
            <w:hideMark/>
          </w:tcPr>
          <w:p w14:paraId="7833A339" w14:textId="77777777" w:rsidR="00C71341" w:rsidRPr="0099543A" w:rsidRDefault="00C71341" w:rsidP="00F32B0A">
            <w:pPr>
              <w:rPr>
                <w:color w:val="000000"/>
              </w:rPr>
            </w:pPr>
            <w:r w:rsidRPr="0099543A">
              <w:rPr>
                <w:color w:val="000000"/>
              </w:rPr>
              <w:t>Acetaldehyde</w:t>
            </w:r>
          </w:p>
        </w:tc>
        <w:tc>
          <w:tcPr>
            <w:tcW w:w="622" w:type="dxa"/>
            <w:noWrap/>
            <w:vAlign w:val="center"/>
            <w:hideMark/>
          </w:tcPr>
          <w:p w14:paraId="7009BB8A"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06C8476" w14:textId="77777777" w:rsidR="00C71341" w:rsidRPr="0099543A" w:rsidRDefault="00C71341" w:rsidP="00F32B0A">
            <w:pPr>
              <w:jc w:val="center"/>
              <w:rPr>
                <w:color w:val="000000"/>
              </w:rPr>
            </w:pPr>
            <w:r w:rsidRPr="0099543A">
              <w:rPr>
                <w:color w:val="000000"/>
              </w:rPr>
              <w:t>2015</w:t>
            </w:r>
          </w:p>
        </w:tc>
        <w:tc>
          <w:tcPr>
            <w:tcW w:w="1215" w:type="dxa"/>
            <w:vAlign w:val="center"/>
          </w:tcPr>
          <w:p w14:paraId="5D94A04C" w14:textId="588A2D8A" w:rsidR="00C71341" w:rsidRPr="0099543A" w:rsidRDefault="00C71341" w:rsidP="00F32B0A">
            <w:pPr>
              <w:jc w:val="center"/>
              <w:rPr>
                <w:color w:val="000000"/>
              </w:rPr>
            </w:pPr>
            <w:r>
              <w:rPr>
                <w:color w:val="000000"/>
              </w:rPr>
              <w:t>X</w:t>
            </w:r>
          </w:p>
        </w:tc>
        <w:tc>
          <w:tcPr>
            <w:tcW w:w="1215" w:type="dxa"/>
            <w:vAlign w:val="center"/>
          </w:tcPr>
          <w:p w14:paraId="6A9916E6" w14:textId="7C81C001" w:rsidR="00C71341" w:rsidRDefault="007D26CE" w:rsidP="00F32B0A">
            <w:pPr>
              <w:jc w:val="center"/>
              <w:rPr>
                <w:color w:val="000000"/>
              </w:rPr>
            </w:pPr>
            <w:r>
              <w:rPr>
                <w:color w:val="000000"/>
              </w:rPr>
              <w:t>68</w:t>
            </w:r>
          </w:p>
        </w:tc>
      </w:tr>
      <w:tr w:rsidR="00C71341" w:rsidRPr="0099543A" w14:paraId="256F5546" w14:textId="0E1076F6" w:rsidTr="00F32B0A">
        <w:trPr>
          <w:trHeight w:val="288"/>
        </w:trPr>
        <w:tc>
          <w:tcPr>
            <w:tcW w:w="1345" w:type="dxa"/>
            <w:noWrap/>
            <w:vAlign w:val="center"/>
            <w:hideMark/>
          </w:tcPr>
          <w:p w14:paraId="29201F92" w14:textId="77777777" w:rsidR="00C71341" w:rsidRPr="0099543A" w:rsidRDefault="00C71341" w:rsidP="00F32B0A">
            <w:pPr>
              <w:jc w:val="center"/>
              <w:rPr>
                <w:color w:val="000000"/>
              </w:rPr>
            </w:pPr>
            <w:r w:rsidRPr="0099543A">
              <w:rPr>
                <w:color w:val="000000"/>
              </w:rPr>
              <w:t>43802</w:t>
            </w:r>
          </w:p>
        </w:tc>
        <w:tc>
          <w:tcPr>
            <w:tcW w:w="3329" w:type="dxa"/>
            <w:noWrap/>
            <w:vAlign w:val="center"/>
            <w:hideMark/>
          </w:tcPr>
          <w:p w14:paraId="5067E4DA" w14:textId="77777777" w:rsidR="00C71341" w:rsidRPr="0099543A" w:rsidRDefault="00C71341" w:rsidP="00F32B0A">
            <w:pPr>
              <w:rPr>
                <w:color w:val="000000"/>
              </w:rPr>
            </w:pPr>
            <w:r w:rsidRPr="0099543A">
              <w:rPr>
                <w:color w:val="000000"/>
              </w:rPr>
              <w:t>Methylene chloride</w:t>
            </w:r>
          </w:p>
        </w:tc>
        <w:tc>
          <w:tcPr>
            <w:tcW w:w="622" w:type="dxa"/>
            <w:noWrap/>
            <w:vAlign w:val="center"/>
            <w:hideMark/>
          </w:tcPr>
          <w:p w14:paraId="3CC35D9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DEAD80E" w14:textId="77777777" w:rsidR="00C71341" w:rsidRPr="0099543A" w:rsidRDefault="00C71341" w:rsidP="00F32B0A">
            <w:pPr>
              <w:jc w:val="center"/>
              <w:rPr>
                <w:color w:val="000000"/>
              </w:rPr>
            </w:pPr>
            <w:r w:rsidRPr="0099543A">
              <w:rPr>
                <w:color w:val="000000"/>
              </w:rPr>
              <w:t>2015</w:t>
            </w:r>
          </w:p>
        </w:tc>
        <w:tc>
          <w:tcPr>
            <w:tcW w:w="1215" w:type="dxa"/>
            <w:vAlign w:val="center"/>
          </w:tcPr>
          <w:p w14:paraId="1FCEB652" w14:textId="5698B39C" w:rsidR="00C71341" w:rsidRPr="0099543A" w:rsidRDefault="00C71341" w:rsidP="00F32B0A">
            <w:pPr>
              <w:jc w:val="center"/>
              <w:rPr>
                <w:color w:val="000000"/>
              </w:rPr>
            </w:pPr>
            <w:r>
              <w:rPr>
                <w:color w:val="000000"/>
              </w:rPr>
              <w:t>X</w:t>
            </w:r>
          </w:p>
        </w:tc>
        <w:tc>
          <w:tcPr>
            <w:tcW w:w="1215" w:type="dxa"/>
            <w:vAlign w:val="center"/>
          </w:tcPr>
          <w:p w14:paraId="28B06315" w14:textId="718B9C22" w:rsidR="00C71341" w:rsidRDefault="00AC675A" w:rsidP="00F32B0A">
            <w:pPr>
              <w:jc w:val="center"/>
              <w:rPr>
                <w:color w:val="000000"/>
              </w:rPr>
            </w:pPr>
            <w:r>
              <w:rPr>
                <w:color w:val="000000"/>
              </w:rPr>
              <w:t>99</w:t>
            </w:r>
          </w:p>
        </w:tc>
      </w:tr>
      <w:tr w:rsidR="00C71341" w:rsidRPr="0099543A" w14:paraId="76AC7673" w14:textId="11D5DA73" w:rsidTr="00F32B0A">
        <w:trPr>
          <w:trHeight w:val="288"/>
        </w:trPr>
        <w:tc>
          <w:tcPr>
            <w:tcW w:w="1345" w:type="dxa"/>
            <w:noWrap/>
            <w:vAlign w:val="center"/>
            <w:hideMark/>
          </w:tcPr>
          <w:p w14:paraId="3B271D25" w14:textId="77777777" w:rsidR="00C71341" w:rsidRPr="0099543A" w:rsidRDefault="00C71341" w:rsidP="00F32B0A">
            <w:pPr>
              <w:jc w:val="center"/>
              <w:rPr>
                <w:color w:val="000000"/>
              </w:rPr>
            </w:pPr>
            <w:r w:rsidRPr="0099543A">
              <w:rPr>
                <w:color w:val="000000"/>
              </w:rPr>
              <w:t>43803</w:t>
            </w:r>
          </w:p>
        </w:tc>
        <w:tc>
          <w:tcPr>
            <w:tcW w:w="3329" w:type="dxa"/>
            <w:noWrap/>
            <w:vAlign w:val="center"/>
            <w:hideMark/>
          </w:tcPr>
          <w:p w14:paraId="6695EF8D" w14:textId="77777777" w:rsidR="00C71341" w:rsidRPr="0099543A" w:rsidRDefault="00C71341" w:rsidP="00F32B0A">
            <w:pPr>
              <w:rPr>
                <w:color w:val="000000"/>
              </w:rPr>
            </w:pPr>
            <w:r w:rsidRPr="0099543A">
              <w:rPr>
                <w:color w:val="000000"/>
              </w:rPr>
              <w:t>Chloroform</w:t>
            </w:r>
          </w:p>
        </w:tc>
        <w:tc>
          <w:tcPr>
            <w:tcW w:w="622" w:type="dxa"/>
            <w:noWrap/>
            <w:vAlign w:val="center"/>
            <w:hideMark/>
          </w:tcPr>
          <w:p w14:paraId="2113EFA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14DCD38D" w14:textId="77777777" w:rsidR="00C71341" w:rsidRPr="0099543A" w:rsidRDefault="00C71341" w:rsidP="00F32B0A">
            <w:pPr>
              <w:jc w:val="center"/>
              <w:rPr>
                <w:color w:val="000000"/>
              </w:rPr>
            </w:pPr>
            <w:r w:rsidRPr="0099543A">
              <w:rPr>
                <w:color w:val="000000"/>
              </w:rPr>
              <w:t>2015</w:t>
            </w:r>
          </w:p>
        </w:tc>
        <w:tc>
          <w:tcPr>
            <w:tcW w:w="1215" w:type="dxa"/>
            <w:vAlign w:val="center"/>
          </w:tcPr>
          <w:p w14:paraId="0D74370D" w14:textId="2825DF5C" w:rsidR="00C71341" w:rsidRPr="0099543A" w:rsidRDefault="00C71341" w:rsidP="00F32B0A">
            <w:pPr>
              <w:jc w:val="center"/>
              <w:rPr>
                <w:color w:val="000000"/>
              </w:rPr>
            </w:pPr>
            <w:r>
              <w:rPr>
                <w:color w:val="000000"/>
              </w:rPr>
              <w:t>X</w:t>
            </w:r>
          </w:p>
        </w:tc>
        <w:tc>
          <w:tcPr>
            <w:tcW w:w="1215" w:type="dxa"/>
            <w:vAlign w:val="center"/>
          </w:tcPr>
          <w:p w14:paraId="542A1BA2" w14:textId="276022EE" w:rsidR="00C71341" w:rsidRDefault="00AC675A" w:rsidP="00F32B0A">
            <w:pPr>
              <w:jc w:val="center"/>
              <w:rPr>
                <w:color w:val="000000"/>
              </w:rPr>
            </w:pPr>
            <w:r>
              <w:rPr>
                <w:color w:val="000000"/>
              </w:rPr>
              <w:t>9</w:t>
            </w:r>
            <w:r w:rsidR="008A113D">
              <w:rPr>
                <w:color w:val="000000"/>
              </w:rPr>
              <w:t>7</w:t>
            </w:r>
          </w:p>
        </w:tc>
      </w:tr>
      <w:tr w:rsidR="00C71341" w:rsidRPr="0099543A" w14:paraId="209B6203" w14:textId="6E72F5FB" w:rsidTr="00F32B0A">
        <w:trPr>
          <w:trHeight w:val="288"/>
        </w:trPr>
        <w:tc>
          <w:tcPr>
            <w:tcW w:w="1345" w:type="dxa"/>
            <w:noWrap/>
            <w:vAlign w:val="center"/>
            <w:hideMark/>
          </w:tcPr>
          <w:p w14:paraId="51491CC0" w14:textId="77777777" w:rsidR="00C71341" w:rsidRPr="0099543A" w:rsidRDefault="00C71341" w:rsidP="00F32B0A">
            <w:pPr>
              <w:jc w:val="center"/>
              <w:rPr>
                <w:color w:val="000000"/>
              </w:rPr>
            </w:pPr>
            <w:r w:rsidRPr="0099543A">
              <w:rPr>
                <w:color w:val="000000"/>
              </w:rPr>
              <w:t>43804</w:t>
            </w:r>
          </w:p>
        </w:tc>
        <w:tc>
          <w:tcPr>
            <w:tcW w:w="3329" w:type="dxa"/>
            <w:noWrap/>
            <w:vAlign w:val="center"/>
            <w:hideMark/>
          </w:tcPr>
          <w:p w14:paraId="7CE0DF11" w14:textId="77777777" w:rsidR="00C71341" w:rsidRPr="0099543A" w:rsidRDefault="00C71341" w:rsidP="00F32B0A">
            <w:pPr>
              <w:rPr>
                <w:color w:val="000000"/>
              </w:rPr>
            </w:pPr>
            <w:r w:rsidRPr="0099543A">
              <w:rPr>
                <w:color w:val="000000"/>
              </w:rPr>
              <w:t>Carbon tetrachloride</w:t>
            </w:r>
          </w:p>
        </w:tc>
        <w:tc>
          <w:tcPr>
            <w:tcW w:w="622" w:type="dxa"/>
            <w:noWrap/>
            <w:vAlign w:val="center"/>
            <w:hideMark/>
          </w:tcPr>
          <w:p w14:paraId="59DA8FE7"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CF6D28" w14:textId="77777777" w:rsidR="00C71341" w:rsidRPr="0099543A" w:rsidRDefault="00C71341" w:rsidP="00F32B0A">
            <w:pPr>
              <w:jc w:val="center"/>
              <w:rPr>
                <w:color w:val="000000"/>
              </w:rPr>
            </w:pPr>
            <w:r w:rsidRPr="0099543A">
              <w:rPr>
                <w:color w:val="000000"/>
              </w:rPr>
              <w:t>2015</w:t>
            </w:r>
          </w:p>
        </w:tc>
        <w:tc>
          <w:tcPr>
            <w:tcW w:w="1215" w:type="dxa"/>
            <w:vAlign w:val="center"/>
          </w:tcPr>
          <w:p w14:paraId="05012F61" w14:textId="6F6EE9BE" w:rsidR="00C71341" w:rsidRPr="0099543A" w:rsidRDefault="00C71341" w:rsidP="00F32B0A">
            <w:pPr>
              <w:jc w:val="center"/>
              <w:rPr>
                <w:color w:val="000000"/>
              </w:rPr>
            </w:pPr>
            <w:r>
              <w:rPr>
                <w:color w:val="000000"/>
              </w:rPr>
              <w:t>X</w:t>
            </w:r>
          </w:p>
        </w:tc>
        <w:tc>
          <w:tcPr>
            <w:tcW w:w="1215" w:type="dxa"/>
            <w:vAlign w:val="center"/>
          </w:tcPr>
          <w:p w14:paraId="4B53A01C" w14:textId="299E3B52" w:rsidR="00C71341" w:rsidRDefault="00AC675A" w:rsidP="00F32B0A">
            <w:pPr>
              <w:jc w:val="center"/>
              <w:rPr>
                <w:color w:val="000000"/>
              </w:rPr>
            </w:pPr>
            <w:r>
              <w:rPr>
                <w:color w:val="000000"/>
              </w:rPr>
              <w:t>97</w:t>
            </w:r>
          </w:p>
        </w:tc>
      </w:tr>
      <w:tr w:rsidR="00C71341" w:rsidRPr="0099543A" w14:paraId="68341A22" w14:textId="62322ACF" w:rsidTr="00F32B0A">
        <w:trPr>
          <w:trHeight w:val="288"/>
        </w:trPr>
        <w:tc>
          <w:tcPr>
            <w:tcW w:w="1345" w:type="dxa"/>
            <w:noWrap/>
            <w:vAlign w:val="center"/>
            <w:hideMark/>
          </w:tcPr>
          <w:p w14:paraId="040BD5B3" w14:textId="77777777" w:rsidR="00C71341" w:rsidRPr="0099543A" w:rsidRDefault="00C71341" w:rsidP="00F32B0A">
            <w:pPr>
              <w:jc w:val="center"/>
              <w:rPr>
                <w:color w:val="000000"/>
              </w:rPr>
            </w:pPr>
            <w:r w:rsidRPr="0099543A">
              <w:rPr>
                <w:color w:val="000000"/>
              </w:rPr>
              <w:t>43815</w:t>
            </w:r>
          </w:p>
        </w:tc>
        <w:tc>
          <w:tcPr>
            <w:tcW w:w="3329" w:type="dxa"/>
            <w:noWrap/>
            <w:vAlign w:val="center"/>
            <w:hideMark/>
          </w:tcPr>
          <w:p w14:paraId="5511E7E0" w14:textId="77777777" w:rsidR="00C71341" w:rsidRPr="0099543A" w:rsidRDefault="00C71341" w:rsidP="00F32B0A">
            <w:pPr>
              <w:rPr>
                <w:color w:val="000000"/>
              </w:rPr>
            </w:pPr>
            <w:r w:rsidRPr="0099543A">
              <w:rPr>
                <w:color w:val="000000"/>
              </w:rPr>
              <w:t>Ethylene dichloride</w:t>
            </w:r>
          </w:p>
        </w:tc>
        <w:tc>
          <w:tcPr>
            <w:tcW w:w="622" w:type="dxa"/>
            <w:noWrap/>
            <w:vAlign w:val="center"/>
            <w:hideMark/>
          </w:tcPr>
          <w:p w14:paraId="2AF970E4"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3E6C9F9D" w14:textId="77777777" w:rsidR="00C71341" w:rsidRPr="0099543A" w:rsidRDefault="00C71341" w:rsidP="00F32B0A">
            <w:pPr>
              <w:jc w:val="center"/>
              <w:rPr>
                <w:color w:val="000000"/>
              </w:rPr>
            </w:pPr>
            <w:r w:rsidRPr="0099543A">
              <w:rPr>
                <w:color w:val="000000"/>
              </w:rPr>
              <w:t>2015</w:t>
            </w:r>
          </w:p>
        </w:tc>
        <w:tc>
          <w:tcPr>
            <w:tcW w:w="1215" w:type="dxa"/>
            <w:vAlign w:val="center"/>
          </w:tcPr>
          <w:p w14:paraId="5EEC01C3" w14:textId="708BAF4E" w:rsidR="00C71341" w:rsidRPr="0099543A" w:rsidRDefault="00C71341" w:rsidP="00F32B0A">
            <w:pPr>
              <w:jc w:val="center"/>
              <w:rPr>
                <w:color w:val="000000"/>
              </w:rPr>
            </w:pPr>
          </w:p>
        </w:tc>
        <w:tc>
          <w:tcPr>
            <w:tcW w:w="1215" w:type="dxa"/>
            <w:vAlign w:val="center"/>
          </w:tcPr>
          <w:p w14:paraId="39A142D5" w14:textId="6C7B5478" w:rsidR="00C71341" w:rsidRPr="0099543A" w:rsidRDefault="008A113D" w:rsidP="008A113D">
            <w:pPr>
              <w:jc w:val="center"/>
              <w:rPr>
                <w:color w:val="000000"/>
              </w:rPr>
            </w:pPr>
            <w:r>
              <w:rPr>
                <w:color w:val="000000"/>
              </w:rPr>
              <w:t>82</w:t>
            </w:r>
          </w:p>
        </w:tc>
      </w:tr>
      <w:tr w:rsidR="00C71341" w:rsidRPr="0099543A" w14:paraId="1E4BB18C" w14:textId="7A8DB3FA" w:rsidTr="00F32B0A">
        <w:trPr>
          <w:trHeight w:val="288"/>
        </w:trPr>
        <w:tc>
          <w:tcPr>
            <w:tcW w:w="1345" w:type="dxa"/>
            <w:noWrap/>
            <w:vAlign w:val="center"/>
            <w:hideMark/>
          </w:tcPr>
          <w:p w14:paraId="31DB6ADC" w14:textId="77777777" w:rsidR="00C71341" w:rsidRPr="0099543A" w:rsidRDefault="00C71341" w:rsidP="00F32B0A">
            <w:pPr>
              <w:jc w:val="center"/>
              <w:rPr>
                <w:color w:val="000000"/>
              </w:rPr>
            </w:pPr>
            <w:r w:rsidRPr="0099543A">
              <w:rPr>
                <w:color w:val="000000"/>
              </w:rPr>
              <w:t>43817</w:t>
            </w:r>
          </w:p>
        </w:tc>
        <w:tc>
          <w:tcPr>
            <w:tcW w:w="3329" w:type="dxa"/>
            <w:noWrap/>
            <w:vAlign w:val="center"/>
            <w:hideMark/>
          </w:tcPr>
          <w:p w14:paraId="499F51F6" w14:textId="77777777" w:rsidR="00C71341" w:rsidRPr="0099543A" w:rsidRDefault="00C71341" w:rsidP="00F32B0A">
            <w:pPr>
              <w:rPr>
                <w:color w:val="000000"/>
              </w:rPr>
            </w:pPr>
            <w:r w:rsidRPr="0099543A">
              <w:rPr>
                <w:color w:val="000000"/>
              </w:rPr>
              <w:t>Tetrachloroethylene</w:t>
            </w:r>
          </w:p>
        </w:tc>
        <w:tc>
          <w:tcPr>
            <w:tcW w:w="622" w:type="dxa"/>
            <w:noWrap/>
            <w:vAlign w:val="center"/>
            <w:hideMark/>
          </w:tcPr>
          <w:p w14:paraId="0018349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BA75A9B" w14:textId="77777777" w:rsidR="00C71341" w:rsidRPr="0099543A" w:rsidRDefault="00C71341" w:rsidP="00F32B0A">
            <w:pPr>
              <w:jc w:val="center"/>
              <w:rPr>
                <w:color w:val="000000"/>
              </w:rPr>
            </w:pPr>
            <w:r w:rsidRPr="0099543A">
              <w:rPr>
                <w:color w:val="000000"/>
              </w:rPr>
              <w:t>2015</w:t>
            </w:r>
          </w:p>
        </w:tc>
        <w:tc>
          <w:tcPr>
            <w:tcW w:w="1215" w:type="dxa"/>
            <w:vAlign w:val="center"/>
          </w:tcPr>
          <w:p w14:paraId="3C530A4E" w14:textId="1EB59C4B" w:rsidR="00C71341" w:rsidRPr="0099543A" w:rsidRDefault="00C71341" w:rsidP="00F32B0A">
            <w:pPr>
              <w:jc w:val="center"/>
              <w:rPr>
                <w:color w:val="000000"/>
              </w:rPr>
            </w:pPr>
            <w:r>
              <w:rPr>
                <w:color w:val="000000"/>
              </w:rPr>
              <w:t>X</w:t>
            </w:r>
          </w:p>
        </w:tc>
        <w:tc>
          <w:tcPr>
            <w:tcW w:w="1215" w:type="dxa"/>
            <w:vAlign w:val="center"/>
          </w:tcPr>
          <w:p w14:paraId="293E6C6B" w14:textId="62186ABB" w:rsidR="00C71341" w:rsidRDefault="007D26CE" w:rsidP="00F32B0A">
            <w:pPr>
              <w:jc w:val="center"/>
              <w:rPr>
                <w:color w:val="000000"/>
              </w:rPr>
            </w:pPr>
            <w:r>
              <w:rPr>
                <w:color w:val="000000"/>
              </w:rPr>
              <w:t>9</w:t>
            </w:r>
            <w:r w:rsidR="00AC675A">
              <w:rPr>
                <w:color w:val="000000"/>
              </w:rPr>
              <w:t>6</w:t>
            </w:r>
          </w:p>
        </w:tc>
      </w:tr>
      <w:tr w:rsidR="00C71341" w:rsidRPr="0099543A" w14:paraId="53598C12" w14:textId="5AD1FC3E" w:rsidTr="00F32B0A">
        <w:trPr>
          <w:trHeight w:val="288"/>
        </w:trPr>
        <w:tc>
          <w:tcPr>
            <w:tcW w:w="1345" w:type="dxa"/>
            <w:noWrap/>
            <w:vAlign w:val="center"/>
            <w:hideMark/>
          </w:tcPr>
          <w:p w14:paraId="58E702AD" w14:textId="77777777" w:rsidR="00C71341" w:rsidRPr="0099543A" w:rsidRDefault="00C71341" w:rsidP="00F32B0A">
            <w:pPr>
              <w:jc w:val="center"/>
              <w:rPr>
                <w:color w:val="000000"/>
              </w:rPr>
            </w:pPr>
            <w:r w:rsidRPr="0099543A">
              <w:rPr>
                <w:color w:val="000000"/>
              </w:rPr>
              <w:t>43824</w:t>
            </w:r>
          </w:p>
        </w:tc>
        <w:tc>
          <w:tcPr>
            <w:tcW w:w="3329" w:type="dxa"/>
            <w:noWrap/>
            <w:vAlign w:val="center"/>
            <w:hideMark/>
          </w:tcPr>
          <w:p w14:paraId="315E973E" w14:textId="77777777" w:rsidR="00C71341" w:rsidRPr="0099543A" w:rsidRDefault="00C71341" w:rsidP="00F32B0A">
            <w:pPr>
              <w:rPr>
                <w:color w:val="000000"/>
              </w:rPr>
            </w:pPr>
            <w:r w:rsidRPr="0099543A">
              <w:rPr>
                <w:color w:val="000000"/>
              </w:rPr>
              <w:t>Trichloroethylene</w:t>
            </w:r>
          </w:p>
        </w:tc>
        <w:tc>
          <w:tcPr>
            <w:tcW w:w="622" w:type="dxa"/>
            <w:noWrap/>
            <w:vAlign w:val="center"/>
            <w:hideMark/>
          </w:tcPr>
          <w:p w14:paraId="14DCEAAF"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7A240826" w14:textId="77777777" w:rsidR="00C71341" w:rsidRPr="0099543A" w:rsidRDefault="00C71341" w:rsidP="00F32B0A">
            <w:pPr>
              <w:jc w:val="center"/>
              <w:rPr>
                <w:color w:val="000000"/>
              </w:rPr>
            </w:pPr>
            <w:r w:rsidRPr="0099543A">
              <w:rPr>
                <w:color w:val="000000"/>
              </w:rPr>
              <w:t>2015</w:t>
            </w:r>
          </w:p>
        </w:tc>
        <w:tc>
          <w:tcPr>
            <w:tcW w:w="1215" w:type="dxa"/>
            <w:vAlign w:val="center"/>
          </w:tcPr>
          <w:p w14:paraId="37623F4A" w14:textId="5CB87503" w:rsidR="00C71341" w:rsidRPr="0099543A" w:rsidRDefault="00C71341" w:rsidP="00F32B0A">
            <w:pPr>
              <w:jc w:val="center"/>
              <w:rPr>
                <w:color w:val="000000"/>
              </w:rPr>
            </w:pPr>
            <w:r>
              <w:rPr>
                <w:color w:val="000000"/>
              </w:rPr>
              <w:t>X</w:t>
            </w:r>
          </w:p>
        </w:tc>
        <w:tc>
          <w:tcPr>
            <w:tcW w:w="1215" w:type="dxa"/>
            <w:vAlign w:val="center"/>
          </w:tcPr>
          <w:p w14:paraId="44C6B947" w14:textId="5264614D" w:rsidR="00C71341" w:rsidRDefault="008A113D" w:rsidP="008A113D">
            <w:pPr>
              <w:jc w:val="center"/>
              <w:rPr>
                <w:color w:val="000000"/>
              </w:rPr>
            </w:pPr>
            <w:r>
              <w:rPr>
                <w:color w:val="000000"/>
              </w:rPr>
              <w:t>48</w:t>
            </w:r>
          </w:p>
        </w:tc>
      </w:tr>
      <w:tr w:rsidR="00C71341" w:rsidRPr="0099543A" w14:paraId="70193BA0" w14:textId="16BEC212" w:rsidTr="00F32B0A">
        <w:trPr>
          <w:trHeight w:val="288"/>
        </w:trPr>
        <w:tc>
          <w:tcPr>
            <w:tcW w:w="1345" w:type="dxa"/>
            <w:noWrap/>
            <w:vAlign w:val="center"/>
            <w:hideMark/>
          </w:tcPr>
          <w:p w14:paraId="2D5F6888" w14:textId="77777777" w:rsidR="00C71341" w:rsidRPr="0099543A" w:rsidRDefault="00C71341" w:rsidP="00F32B0A">
            <w:pPr>
              <w:jc w:val="center"/>
              <w:rPr>
                <w:color w:val="000000"/>
              </w:rPr>
            </w:pPr>
            <w:r w:rsidRPr="0099543A">
              <w:rPr>
                <w:color w:val="000000"/>
              </w:rPr>
              <w:t>43860</w:t>
            </w:r>
          </w:p>
        </w:tc>
        <w:tc>
          <w:tcPr>
            <w:tcW w:w="3329" w:type="dxa"/>
            <w:noWrap/>
            <w:vAlign w:val="center"/>
            <w:hideMark/>
          </w:tcPr>
          <w:p w14:paraId="4039E2A7" w14:textId="77777777" w:rsidR="00C71341" w:rsidRPr="0099543A" w:rsidRDefault="00C71341" w:rsidP="00F32B0A">
            <w:pPr>
              <w:rPr>
                <w:color w:val="000000"/>
              </w:rPr>
            </w:pPr>
            <w:r w:rsidRPr="0099543A">
              <w:rPr>
                <w:color w:val="000000"/>
              </w:rPr>
              <w:t>Vinyl chloride</w:t>
            </w:r>
          </w:p>
        </w:tc>
        <w:tc>
          <w:tcPr>
            <w:tcW w:w="622" w:type="dxa"/>
            <w:noWrap/>
            <w:vAlign w:val="center"/>
            <w:hideMark/>
          </w:tcPr>
          <w:p w14:paraId="07B8F1D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D21ADE6" w14:textId="77777777" w:rsidR="00C71341" w:rsidRPr="0099543A" w:rsidRDefault="00C71341" w:rsidP="00F32B0A">
            <w:pPr>
              <w:jc w:val="center"/>
              <w:rPr>
                <w:color w:val="000000"/>
              </w:rPr>
            </w:pPr>
            <w:r w:rsidRPr="0099543A">
              <w:rPr>
                <w:color w:val="000000"/>
              </w:rPr>
              <w:t>2015</w:t>
            </w:r>
          </w:p>
        </w:tc>
        <w:tc>
          <w:tcPr>
            <w:tcW w:w="1215" w:type="dxa"/>
            <w:vAlign w:val="center"/>
          </w:tcPr>
          <w:p w14:paraId="06189245" w14:textId="08F174C5" w:rsidR="00C71341" w:rsidRPr="0099543A" w:rsidRDefault="00C71341" w:rsidP="00F32B0A">
            <w:pPr>
              <w:jc w:val="center"/>
              <w:rPr>
                <w:color w:val="000000"/>
              </w:rPr>
            </w:pPr>
            <w:r>
              <w:rPr>
                <w:color w:val="000000"/>
              </w:rPr>
              <w:t>X</w:t>
            </w:r>
          </w:p>
        </w:tc>
        <w:tc>
          <w:tcPr>
            <w:tcW w:w="1215" w:type="dxa"/>
            <w:vAlign w:val="center"/>
          </w:tcPr>
          <w:p w14:paraId="2F27E7E2" w14:textId="4ADFF1CE" w:rsidR="00C71341" w:rsidRDefault="007D26CE" w:rsidP="00F32B0A">
            <w:pPr>
              <w:jc w:val="center"/>
              <w:rPr>
                <w:color w:val="000000"/>
              </w:rPr>
            </w:pPr>
            <w:r>
              <w:rPr>
                <w:color w:val="000000"/>
              </w:rPr>
              <w:t>1</w:t>
            </w:r>
            <w:r w:rsidR="00AC675A">
              <w:rPr>
                <w:color w:val="000000"/>
              </w:rPr>
              <w:t>6</w:t>
            </w:r>
          </w:p>
        </w:tc>
      </w:tr>
      <w:tr w:rsidR="00C71341" w:rsidRPr="0099543A" w14:paraId="21507CFE" w14:textId="28F79D8C" w:rsidTr="00F32B0A">
        <w:trPr>
          <w:trHeight w:val="288"/>
        </w:trPr>
        <w:tc>
          <w:tcPr>
            <w:tcW w:w="1345" w:type="dxa"/>
            <w:noWrap/>
            <w:vAlign w:val="center"/>
            <w:hideMark/>
          </w:tcPr>
          <w:p w14:paraId="1311589F" w14:textId="77777777" w:rsidR="00C71341" w:rsidRPr="0099543A" w:rsidRDefault="00C71341" w:rsidP="00F32B0A">
            <w:pPr>
              <w:jc w:val="center"/>
              <w:rPr>
                <w:color w:val="000000"/>
              </w:rPr>
            </w:pPr>
            <w:r w:rsidRPr="0099543A">
              <w:rPr>
                <w:color w:val="000000"/>
              </w:rPr>
              <w:t>45201</w:t>
            </w:r>
          </w:p>
        </w:tc>
        <w:tc>
          <w:tcPr>
            <w:tcW w:w="3329" w:type="dxa"/>
            <w:noWrap/>
            <w:vAlign w:val="center"/>
            <w:hideMark/>
          </w:tcPr>
          <w:p w14:paraId="1B818A08" w14:textId="77777777" w:rsidR="00C71341" w:rsidRPr="0099543A" w:rsidRDefault="00C71341" w:rsidP="00F32B0A">
            <w:pPr>
              <w:rPr>
                <w:color w:val="000000"/>
              </w:rPr>
            </w:pPr>
            <w:r w:rsidRPr="0099543A">
              <w:rPr>
                <w:color w:val="000000"/>
              </w:rPr>
              <w:t>Benzene</w:t>
            </w:r>
          </w:p>
        </w:tc>
        <w:tc>
          <w:tcPr>
            <w:tcW w:w="622" w:type="dxa"/>
            <w:noWrap/>
            <w:vAlign w:val="center"/>
            <w:hideMark/>
          </w:tcPr>
          <w:p w14:paraId="5399063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0900D06" w14:textId="77777777" w:rsidR="00C71341" w:rsidRPr="0099543A" w:rsidRDefault="00C71341" w:rsidP="00F32B0A">
            <w:pPr>
              <w:jc w:val="center"/>
              <w:rPr>
                <w:color w:val="000000"/>
              </w:rPr>
            </w:pPr>
            <w:r w:rsidRPr="0099543A">
              <w:rPr>
                <w:color w:val="000000"/>
              </w:rPr>
              <w:t>2015</w:t>
            </w:r>
          </w:p>
        </w:tc>
        <w:tc>
          <w:tcPr>
            <w:tcW w:w="1215" w:type="dxa"/>
            <w:vAlign w:val="center"/>
          </w:tcPr>
          <w:p w14:paraId="3AD9F59B" w14:textId="555C0FF5" w:rsidR="00C71341" w:rsidRPr="0099543A" w:rsidRDefault="00C71341" w:rsidP="00F32B0A">
            <w:pPr>
              <w:jc w:val="center"/>
              <w:rPr>
                <w:color w:val="000000"/>
              </w:rPr>
            </w:pPr>
            <w:r>
              <w:rPr>
                <w:color w:val="000000"/>
              </w:rPr>
              <w:t>X</w:t>
            </w:r>
          </w:p>
        </w:tc>
        <w:tc>
          <w:tcPr>
            <w:tcW w:w="1215" w:type="dxa"/>
            <w:vAlign w:val="center"/>
          </w:tcPr>
          <w:p w14:paraId="3E63D289" w14:textId="16C430D1" w:rsidR="00C71341" w:rsidRDefault="007D26CE" w:rsidP="00F32B0A">
            <w:pPr>
              <w:jc w:val="center"/>
              <w:rPr>
                <w:color w:val="000000"/>
              </w:rPr>
            </w:pPr>
            <w:r>
              <w:rPr>
                <w:color w:val="000000"/>
              </w:rPr>
              <w:t>12</w:t>
            </w:r>
            <w:r w:rsidR="00AC675A">
              <w:rPr>
                <w:color w:val="000000"/>
              </w:rPr>
              <w:t>4</w:t>
            </w:r>
          </w:p>
        </w:tc>
      </w:tr>
      <w:tr w:rsidR="00C71341" w:rsidRPr="0099543A" w14:paraId="514D84AD" w14:textId="1690A0F9" w:rsidTr="00F32B0A">
        <w:trPr>
          <w:trHeight w:val="288"/>
        </w:trPr>
        <w:tc>
          <w:tcPr>
            <w:tcW w:w="1345" w:type="dxa"/>
            <w:noWrap/>
            <w:vAlign w:val="center"/>
            <w:hideMark/>
          </w:tcPr>
          <w:p w14:paraId="27D7DFA3" w14:textId="77777777" w:rsidR="00C71341" w:rsidRPr="0099543A" w:rsidRDefault="00C71341" w:rsidP="00F32B0A">
            <w:pPr>
              <w:jc w:val="center"/>
              <w:rPr>
                <w:color w:val="000000"/>
              </w:rPr>
            </w:pPr>
            <w:r w:rsidRPr="0099543A">
              <w:rPr>
                <w:color w:val="000000"/>
              </w:rPr>
              <w:t>45202</w:t>
            </w:r>
          </w:p>
        </w:tc>
        <w:tc>
          <w:tcPr>
            <w:tcW w:w="3329" w:type="dxa"/>
            <w:noWrap/>
            <w:vAlign w:val="center"/>
            <w:hideMark/>
          </w:tcPr>
          <w:p w14:paraId="1FAB2F02" w14:textId="77777777" w:rsidR="00C71341" w:rsidRPr="0099543A" w:rsidRDefault="00C71341" w:rsidP="00F32B0A">
            <w:pPr>
              <w:rPr>
                <w:color w:val="000000"/>
              </w:rPr>
            </w:pPr>
            <w:r w:rsidRPr="0099543A">
              <w:rPr>
                <w:color w:val="000000"/>
              </w:rPr>
              <w:t>Toluene</w:t>
            </w:r>
          </w:p>
        </w:tc>
        <w:tc>
          <w:tcPr>
            <w:tcW w:w="622" w:type="dxa"/>
            <w:noWrap/>
            <w:vAlign w:val="center"/>
            <w:hideMark/>
          </w:tcPr>
          <w:p w14:paraId="05371B73"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2E24B557" w14:textId="77777777" w:rsidR="00C71341" w:rsidRPr="0099543A" w:rsidRDefault="00C71341" w:rsidP="00F32B0A">
            <w:pPr>
              <w:jc w:val="center"/>
              <w:rPr>
                <w:color w:val="000000"/>
              </w:rPr>
            </w:pPr>
            <w:r w:rsidRPr="0099543A">
              <w:rPr>
                <w:color w:val="000000"/>
              </w:rPr>
              <w:t>2015</w:t>
            </w:r>
          </w:p>
        </w:tc>
        <w:tc>
          <w:tcPr>
            <w:tcW w:w="1215" w:type="dxa"/>
            <w:vAlign w:val="center"/>
          </w:tcPr>
          <w:p w14:paraId="3BA3EA6D" w14:textId="065E661A" w:rsidR="00C71341" w:rsidRPr="0099543A" w:rsidRDefault="00C71341" w:rsidP="00F32B0A">
            <w:pPr>
              <w:jc w:val="center"/>
              <w:rPr>
                <w:color w:val="000000"/>
              </w:rPr>
            </w:pPr>
          </w:p>
        </w:tc>
        <w:tc>
          <w:tcPr>
            <w:tcW w:w="1215" w:type="dxa"/>
            <w:vAlign w:val="center"/>
          </w:tcPr>
          <w:p w14:paraId="457C23B5" w14:textId="26DBE924" w:rsidR="00C71341" w:rsidRPr="0099543A" w:rsidRDefault="007D26CE" w:rsidP="00F32B0A">
            <w:pPr>
              <w:jc w:val="center"/>
              <w:rPr>
                <w:color w:val="000000"/>
              </w:rPr>
            </w:pPr>
            <w:r>
              <w:rPr>
                <w:color w:val="000000"/>
              </w:rPr>
              <w:t>1</w:t>
            </w:r>
            <w:r w:rsidR="00AC675A">
              <w:rPr>
                <w:color w:val="000000"/>
              </w:rPr>
              <w:t>17</w:t>
            </w:r>
          </w:p>
        </w:tc>
      </w:tr>
      <w:tr w:rsidR="00C71341" w:rsidRPr="0099543A" w14:paraId="751E1A36" w14:textId="4672B9E2" w:rsidTr="00F32B0A">
        <w:trPr>
          <w:trHeight w:val="288"/>
        </w:trPr>
        <w:tc>
          <w:tcPr>
            <w:tcW w:w="1345" w:type="dxa"/>
            <w:noWrap/>
            <w:vAlign w:val="center"/>
            <w:hideMark/>
          </w:tcPr>
          <w:p w14:paraId="25E7B1EC" w14:textId="77777777" w:rsidR="00C71341" w:rsidRPr="0099543A" w:rsidRDefault="00C71341" w:rsidP="00F32B0A">
            <w:pPr>
              <w:jc w:val="center"/>
              <w:rPr>
                <w:color w:val="000000"/>
              </w:rPr>
            </w:pPr>
            <w:r w:rsidRPr="0099543A">
              <w:rPr>
                <w:color w:val="000000"/>
              </w:rPr>
              <w:t>45203</w:t>
            </w:r>
          </w:p>
        </w:tc>
        <w:tc>
          <w:tcPr>
            <w:tcW w:w="3329" w:type="dxa"/>
            <w:noWrap/>
            <w:vAlign w:val="center"/>
            <w:hideMark/>
          </w:tcPr>
          <w:p w14:paraId="44A172BE" w14:textId="77777777" w:rsidR="00C71341" w:rsidRPr="0099543A" w:rsidRDefault="00C71341" w:rsidP="00F32B0A">
            <w:pPr>
              <w:rPr>
                <w:color w:val="000000"/>
              </w:rPr>
            </w:pPr>
            <w:r w:rsidRPr="0099543A">
              <w:rPr>
                <w:color w:val="000000"/>
              </w:rPr>
              <w:t>Ethylbenzene</w:t>
            </w:r>
          </w:p>
        </w:tc>
        <w:tc>
          <w:tcPr>
            <w:tcW w:w="622" w:type="dxa"/>
            <w:noWrap/>
            <w:vAlign w:val="center"/>
            <w:hideMark/>
          </w:tcPr>
          <w:p w14:paraId="00BBABDC"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ABCB951" w14:textId="77777777" w:rsidR="00C71341" w:rsidRPr="0099543A" w:rsidRDefault="00C71341" w:rsidP="00F32B0A">
            <w:pPr>
              <w:jc w:val="center"/>
              <w:rPr>
                <w:color w:val="000000"/>
              </w:rPr>
            </w:pPr>
            <w:r w:rsidRPr="0099543A">
              <w:rPr>
                <w:color w:val="000000"/>
              </w:rPr>
              <w:t>2015</w:t>
            </w:r>
          </w:p>
        </w:tc>
        <w:tc>
          <w:tcPr>
            <w:tcW w:w="1215" w:type="dxa"/>
            <w:vAlign w:val="center"/>
          </w:tcPr>
          <w:p w14:paraId="36BEEC04" w14:textId="663BB18C" w:rsidR="00C71341" w:rsidRPr="0099543A" w:rsidRDefault="00C71341" w:rsidP="00F32B0A">
            <w:pPr>
              <w:jc w:val="center"/>
              <w:rPr>
                <w:color w:val="000000"/>
              </w:rPr>
            </w:pPr>
          </w:p>
        </w:tc>
        <w:tc>
          <w:tcPr>
            <w:tcW w:w="1215" w:type="dxa"/>
            <w:vAlign w:val="center"/>
          </w:tcPr>
          <w:p w14:paraId="3A51F8DB" w14:textId="240CC9E7" w:rsidR="00C71341" w:rsidRPr="0099543A" w:rsidRDefault="007D26CE" w:rsidP="00F32B0A">
            <w:pPr>
              <w:jc w:val="center"/>
              <w:rPr>
                <w:color w:val="000000"/>
              </w:rPr>
            </w:pPr>
            <w:r>
              <w:rPr>
                <w:color w:val="000000"/>
              </w:rPr>
              <w:t>11</w:t>
            </w:r>
            <w:r w:rsidR="00AC675A">
              <w:rPr>
                <w:color w:val="000000"/>
              </w:rPr>
              <w:t>1</w:t>
            </w:r>
          </w:p>
        </w:tc>
      </w:tr>
      <w:tr w:rsidR="00C71341" w:rsidRPr="0099543A" w14:paraId="19F1E0DB" w14:textId="75C4B6A8" w:rsidTr="00F32B0A">
        <w:trPr>
          <w:trHeight w:val="288"/>
        </w:trPr>
        <w:tc>
          <w:tcPr>
            <w:tcW w:w="1345" w:type="dxa"/>
            <w:noWrap/>
            <w:vAlign w:val="center"/>
            <w:hideMark/>
          </w:tcPr>
          <w:p w14:paraId="1EE0815B" w14:textId="77777777" w:rsidR="00C71341" w:rsidRPr="0099543A" w:rsidRDefault="00C71341" w:rsidP="00F32B0A">
            <w:pPr>
              <w:jc w:val="center"/>
              <w:rPr>
                <w:color w:val="000000"/>
              </w:rPr>
            </w:pPr>
            <w:r w:rsidRPr="0099543A">
              <w:rPr>
                <w:color w:val="000000"/>
              </w:rPr>
              <w:t>85103</w:t>
            </w:r>
          </w:p>
        </w:tc>
        <w:tc>
          <w:tcPr>
            <w:tcW w:w="3329" w:type="dxa"/>
            <w:noWrap/>
            <w:vAlign w:val="center"/>
            <w:hideMark/>
          </w:tcPr>
          <w:p w14:paraId="25CF3DBA" w14:textId="77777777" w:rsidR="00C71341" w:rsidRPr="0099543A" w:rsidRDefault="00C71341" w:rsidP="00F32B0A">
            <w:pPr>
              <w:rPr>
                <w:color w:val="000000"/>
              </w:rPr>
            </w:pPr>
            <w:r w:rsidRPr="0099543A">
              <w:rPr>
                <w:color w:val="000000"/>
              </w:rPr>
              <w:t xml:space="preserve">Arsenic Pm10 </w:t>
            </w:r>
            <w:proofErr w:type="spellStart"/>
            <w:r w:rsidRPr="0099543A">
              <w:rPr>
                <w:color w:val="000000"/>
              </w:rPr>
              <w:t>Lc</w:t>
            </w:r>
            <w:proofErr w:type="spellEnd"/>
          </w:p>
        </w:tc>
        <w:tc>
          <w:tcPr>
            <w:tcW w:w="622" w:type="dxa"/>
            <w:noWrap/>
            <w:vAlign w:val="center"/>
            <w:hideMark/>
          </w:tcPr>
          <w:p w14:paraId="1A7FCEDB"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342F6992" w14:textId="77777777" w:rsidR="00C71341" w:rsidRPr="0099543A" w:rsidRDefault="00C71341" w:rsidP="00F32B0A">
            <w:pPr>
              <w:jc w:val="center"/>
              <w:rPr>
                <w:color w:val="000000"/>
              </w:rPr>
            </w:pPr>
            <w:r w:rsidRPr="0099543A">
              <w:rPr>
                <w:color w:val="000000"/>
              </w:rPr>
              <w:t>2015</w:t>
            </w:r>
          </w:p>
        </w:tc>
        <w:tc>
          <w:tcPr>
            <w:tcW w:w="1215" w:type="dxa"/>
            <w:vAlign w:val="center"/>
          </w:tcPr>
          <w:p w14:paraId="715B6B7C" w14:textId="2C5BD717" w:rsidR="00C71341" w:rsidRPr="0099543A" w:rsidRDefault="00C71341" w:rsidP="00F32B0A">
            <w:pPr>
              <w:jc w:val="center"/>
              <w:rPr>
                <w:color w:val="000000"/>
              </w:rPr>
            </w:pPr>
            <w:r>
              <w:rPr>
                <w:color w:val="000000"/>
              </w:rPr>
              <w:t>X</w:t>
            </w:r>
          </w:p>
        </w:tc>
        <w:tc>
          <w:tcPr>
            <w:tcW w:w="1215" w:type="dxa"/>
            <w:vAlign w:val="center"/>
          </w:tcPr>
          <w:p w14:paraId="16A047B7" w14:textId="3E8D0A03" w:rsidR="00C71341" w:rsidRDefault="007D26CE" w:rsidP="00F32B0A">
            <w:pPr>
              <w:jc w:val="center"/>
              <w:rPr>
                <w:color w:val="000000"/>
              </w:rPr>
            </w:pPr>
            <w:r>
              <w:rPr>
                <w:color w:val="000000"/>
              </w:rPr>
              <w:t>2</w:t>
            </w:r>
            <w:r w:rsidR="00AC675A">
              <w:rPr>
                <w:color w:val="000000"/>
              </w:rPr>
              <w:t>0</w:t>
            </w:r>
          </w:p>
        </w:tc>
      </w:tr>
      <w:tr w:rsidR="00C71341" w:rsidRPr="0099543A" w14:paraId="585DADDF" w14:textId="1DEBF48D" w:rsidTr="00F32B0A">
        <w:trPr>
          <w:trHeight w:val="288"/>
        </w:trPr>
        <w:tc>
          <w:tcPr>
            <w:tcW w:w="1345" w:type="dxa"/>
            <w:noWrap/>
            <w:vAlign w:val="center"/>
            <w:hideMark/>
          </w:tcPr>
          <w:p w14:paraId="6F4BEABA" w14:textId="77777777" w:rsidR="00C71341" w:rsidRPr="0099543A" w:rsidRDefault="00C71341" w:rsidP="00F32B0A">
            <w:pPr>
              <w:jc w:val="center"/>
              <w:rPr>
                <w:color w:val="000000"/>
              </w:rPr>
            </w:pPr>
            <w:r w:rsidRPr="0099543A">
              <w:rPr>
                <w:color w:val="000000"/>
              </w:rPr>
              <w:t>85105</w:t>
            </w:r>
          </w:p>
        </w:tc>
        <w:tc>
          <w:tcPr>
            <w:tcW w:w="3329" w:type="dxa"/>
            <w:noWrap/>
            <w:vAlign w:val="center"/>
            <w:hideMark/>
          </w:tcPr>
          <w:p w14:paraId="4E78D21D" w14:textId="77777777" w:rsidR="00C71341" w:rsidRPr="0099543A" w:rsidRDefault="00C71341" w:rsidP="00F32B0A">
            <w:pPr>
              <w:rPr>
                <w:color w:val="000000"/>
              </w:rPr>
            </w:pPr>
            <w:r w:rsidRPr="0099543A">
              <w:rPr>
                <w:color w:val="000000"/>
              </w:rPr>
              <w:t xml:space="preserve">Beryllium Pm10 </w:t>
            </w:r>
            <w:proofErr w:type="spellStart"/>
            <w:r w:rsidRPr="0099543A">
              <w:rPr>
                <w:color w:val="000000"/>
              </w:rPr>
              <w:t>Lc</w:t>
            </w:r>
            <w:proofErr w:type="spellEnd"/>
          </w:p>
        </w:tc>
        <w:tc>
          <w:tcPr>
            <w:tcW w:w="622" w:type="dxa"/>
            <w:noWrap/>
            <w:vAlign w:val="center"/>
            <w:hideMark/>
          </w:tcPr>
          <w:p w14:paraId="0C2175C9" w14:textId="77777777" w:rsidR="00C71341" w:rsidRPr="0099543A" w:rsidRDefault="00C71341" w:rsidP="00F32B0A">
            <w:pPr>
              <w:jc w:val="center"/>
              <w:rPr>
                <w:color w:val="000000"/>
              </w:rPr>
            </w:pPr>
            <w:r w:rsidRPr="0099543A">
              <w:rPr>
                <w:color w:val="000000"/>
              </w:rPr>
              <w:t>2004</w:t>
            </w:r>
          </w:p>
        </w:tc>
        <w:tc>
          <w:tcPr>
            <w:tcW w:w="864" w:type="dxa"/>
            <w:noWrap/>
            <w:vAlign w:val="center"/>
            <w:hideMark/>
          </w:tcPr>
          <w:p w14:paraId="7AB04BED" w14:textId="77777777" w:rsidR="00C71341" w:rsidRPr="0099543A" w:rsidRDefault="00C71341" w:rsidP="00F32B0A">
            <w:pPr>
              <w:jc w:val="center"/>
              <w:rPr>
                <w:color w:val="000000"/>
              </w:rPr>
            </w:pPr>
            <w:r w:rsidRPr="0099543A">
              <w:rPr>
                <w:color w:val="000000"/>
              </w:rPr>
              <w:t>2015</w:t>
            </w:r>
          </w:p>
        </w:tc>
        <w:tc>
          <w:tcPr>
            <w:tcW w:w="1215" w:type="dxa"/>
            <w:vAlign w:val="center"/>
          </w:tcPr>
          <w:p w14:paraId="79179122" w14:textId="2EEF3ACB" w:rsidR="00C71341" w:rsidRPr="0099543A" w:rsidRDefault="00C71341" w:rsidP="00F32B0A">
            <w:pPr>
              <w:jc w:val="center"/>
              <w:rPr>
                <w:color w:val="000000"/>
              </w:rPr>
            </w:pPr>
            <w:r>
              <w:rPr>
                <w:color w:val="000000"/>
              </w:rPr>
              <w:t>X</w:t>
            </w:r>
          </w:p>
        </w:tc>
        <w:tc>
          <w:tcPr>
            <w:tcW w:w="1215" w:type="dxa"/>
            <w:vAlign w:val="center"/>
          </w:tcPr>
          <w:p w14:paraId="00117A20" w14:textId="70D36F8C" w:rsidR="00C71341" w:rsidRDefault="00AC675A" w:rsidP="00F32B0A">
            <w:pPr>
              <w:jc w:val="center"/>
              <w:rPr>
                <w:color w:val="000000"/>
              </w:rPr>
            </w:pPr>
            <w:r>
              <w:rPr>
                <w:color w:val="000000"/>
              </w:rPr>
              <w:t>17</w:t>
            </w:r>
          </w:p>
        </w:tc>
      </w:tr>
      <w:tr w:rsidR="00C71341" w:rsidRPr="0099543A" w14:paraId="77514749" w14:textId="3986DA3E" w:rsidTr="00F32B0A">
        <w:trPr>
          <w:trHeight w:val="288"/>
        </w:trPr>
        <w:tc>
          <w:tcPr>
            <w:tcW w:w="1345" w:type="dxa"/>
            <w:noWrap/>
            <w:vAlign w:val="center"/>
            <w:hideMark/>
          </w:tcPr>
          <w:p w14:paraId="1CE417B6" w14:textId="77777777" w:rsidR="00C71341" w:rsidRPr="0099543A" w:rsidRDefault="00C71341" w:rsidP="00F32B0A">
            <w:pPr>
              <w:jc w:val="center"/>
              <w:rPr>
                <w:color w:val="000000"/>
              </w:rPr>
            </w:pPr>
            <w:r w:rsidRPr="0099543A">
              <w:rPr>
                <w:color w:val="000000"/>
              </w:rPr>
              <w:t>85110</w:t>
            </w:r>
          </w:p>
        </w:tc>
        <w:tc>
          <w:tcPr>
            <w:tcW w:w="3329" w:type="dxa"/>
            <w:noWrap/>
            <w:vAlign w:val="center"/>
            <w:hideMark/>
          </w:tcPr>
          <w:p w14:paraId="756E5078" w14:textId="77777777" w:rsidR="00C71341" w:rsidRPr="0099543A" w:rsidRDefault="00C71341" w:rsidP="00F32B0A">
            <w:pPr>
              <w:rPr>
                <w:color w:val="000000"/>
              </w:rPr>
            </w:pPr>
            <w:r w:rsidRPr="0099543A">
              <w:rPr>
                <w:color w:val="000000"/>
              </w:rPr>
              <w:t xml:space="preserve">Cadmium Pm10 </w:t>
            </w:r>
            <w:proofErr w:type="spellStart"/>
            <w:r w:rsidRPr="0099543A">
              <w:rPr>
                <w:color w:val="000000"/>
              </w:rPr>
              <w:t>Lc</w:t>
            </w:r>
            <w:proofErr w:type="spellEnd"/>
          </w:p>
        </w:tc>
        <w:tc>
          <w:tcPr>
            <w:tcW w:w="622" w:type="dxa"/>
            <w:noWrap/>
            <w:vAlign w:val="center"/>
            <w:hideMark/>
          </w:tcPr>
          <w:p w14:paraId="2412040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6230704E" w14:textId="77777777" w:rsidR="00C71341" w:rsidRPr="0099543A" w:rsidRDefault="00C71341" w:rsidP="00F32B0A">
            <w:pPr>
              <w:jc w:val="center"/>
              <w:rPr>
                <w:color w:val="000000"/>
              </w:rPr>
            </w:pPr>
            <w:r w:rsidRPr="0099543A">
              <w:rPr>
                <w:color w:val="000000"/>
              </w:rPr>
              <w:t>2015</w:t>
            </w:r>
          </w:p>
        </w:tc>
        <w:tc>
          <w:tcPr>
            <w:tcW w:w="1215" w:type="dxa"/>
            <w:vAlign w:val="center"/>
          </w:tcPr>
          <w:p w14:paraId="4690E467" w14:textId="6C3859FA" w:rsidR="00C71341" w:rsidRPr="0099543A" w:rsidRDefault="00C71341" w:rsidP="00F32B0A">
            <w:pPr>
              <w:jc w:val="center"/>
              <w:rPr>
                <w:color w:val="000000"/>
              </w:rPr>
            </w:pPr>
            <w:r>
              <w:rPr>
                <w:color w:val="000000"/>
              </w:rPr>
              <w:t>X</w:t>
            </w:r>
          </w:p>
        </w:tc>
        <w:tc>
          <w:tcPr>
            <w:tcW w:w="1215" w:type="dxa"/>
            <w:vAlign w:val="center"/>
          </w:tcPr>
          <w:p w14:paraId="056F5458" w14:textId="563C8DA7" w:rsidR="00C71341" w:rsidRDefault="007D26CE" w:rsidP="00F32B0A">
            <w:pPr>
              <w:jc w:val="center"/>
              <w:rPr>
                <w:color w:val="000000"/>
              </w:rPr>
            </w:pPr>
            <w:r>
              <w:rPr>
                <w:color w:val="000000"/>
              </w:rPr>
              <w:t>1</w:t>
            </w:r>
            <w:r w:rsidR="00AC675A">
              <w:rPr>
                <w:color w:val="000000"/>
              </w:rPr>
              <w:t>6</w:t>
            </w:r>
          </w:p>
        </w:tc>
      </w:tr>
      <w:tr w:rsidR="00C71341" w:rsidRPr="0099543A" w14:paraId="7311E991" w14:textId="1B037097" w:rsidTr="00F32B0A">
        <w:trPr>
          <w:trHeight w:val="288"/>
        </w:trPr>
        <w:tc>
          <w:tcPr>
            <w:tcW w:w="1345" w:type="dxa"/>
            <w:noWrap/>
            <w:vAlign w:val="center"/>
            <w:hideMark/>
          </w:tcPr>
          <w:p w14:paraId="0428AB64" w14:textId="77777777" w:rsidR="00C71341" w:rsidRPr="0099543A" w:rsidRDefault="00C71341" w:rsidP="00F32B0A">
            <w:pPr>
              <w:jc w:val="center"/>
              <w:rPr>
                <w:color w:val="000000"/>
              </w:rPr>
            </w:pPr>
            <w:r w:rsidRPr="0099543A">
              <w:rPr>
                <w:color w:val="000000"/>
              </w:rPr>
              <w:t>85128</w:t>
            </w:r>
          </w:p>
        </w:tc>
        <w:tc>
          <w:tcPr>
            <w:tcW w:w="3329" w:type="dxa"/>
            <w:noWrap/>
            <w:vAlign w:val="center"/>
            <w:hideMark/>
          </w:tcPr>
          <w:p w14:paraId="2743D626" w14:textId="77777777" w:rsidR="00C71341" w:rsidRPr="0099543A" w:rsidRDefault="00C71341" w:rsidP="00F32B0A">
            <w:pPr>
              <w:rPr>
                <w:color w:val="000000"/>
              </w:rPr>
            </w:pPr>
            <w:r w:rsidRPr="0099543A">
              <w:rPr>
                <w:color w:val="000000"/>
              </w:rPr>
              <w:t xml:space="preserve">Lead Pm10 </w:t>
            </w:r>
            <w:proofErr w:type="spellStart"/>
            <w:r w:rsidRPr="0099543A">
              <w:rPr>
                <w:color w:val="000000"/>
              </w:rPr>
              <w:t>Lc</w:t>
            </w:r>
            <w:proofErr w:type="spellEnd"/>
          </w:p>
        </w:tc>
        <w:tc>
          <w:tcPr>
            <w:tcW w:w="622" w:type="dxa"/>
            <w:noWrap/>
            <w:vAlign w:val="center"/>
            <w:hideMark/>
          </w:tcPr>
          <w:p w14:paraId="707B39D5"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42668BE7" w14:textId="77777777" w:rsidR="00C71341" w:rsidRPr="0099543A" w:rsidRDefault="00C71341" w:rsidP="00F32B0A">
            <w:pPr>
              <w:jc w:val="center"/>
              <w:rPr>
                <w:color w:val="000000"/>
              </w:rPr>
            </w:pPr>
            <w:r w:rsidRPr="0099543A">
              <w:rPr>
                <w:color w:val="000000"/>
              </w:rPr>
              <w:t>2015</w:t>
            </w:r>
          </w:p>
        </w:tc>
        <w:tc>
          <w:tcPr>
            <w:tcW w:w="1215" w:type="dxa"/>
            <w:vAlign w:val="center"/>
          </w:tcPr>
          <w:p w14:paraId="22F6E267" w14:textId="23700DFC" w:rsidR="00C71341" w:rsidRPr="0099543A" w:rsidRDefault="00C71341" w:rsidP="00F32B0A">
            <w:pPr>
              <w:jc w:val="center"/>
              <w:rPr>
                <w:color w:val="000000"/>
              </w:rPr>
            </w:pPr>
            <w:r>
              <w:rPr>
                <w:color w:val="000000"/>
              </w:rPr>
              <w:t>X</w:t>
            </w:r>
          </w:p>
        </w:tc>
        <w:tc>
          <w:tcPr>
            <w:tcW w:w="1215" w:type="dxa"/>
            <w:vAlign w:val="center"/>
          </w:tcPr>
          <w:p w14:paraId="6E03024E" w14:textId="2A735082" w:rsidR="00C71341" w:rsidRDefault="007D26CE" w:rsidP="00F32B0A">
            <w:pPr>
              <w:jc w:val="center"/>
              <w:rPr>
                <w:color w:val="000000"/>
              </w:rPr>
            </w:pPr>
            <w:r>
              <w:rPr>
                <w:color w:val="000000"/>
              </w:rPr>
              <w:t>2</w:t>
            </w:r>
            <w:r w:rsidR="00AC675A">
              <w:rPr>
                <w:color w:val="000000"/>
              </w:rPr>
              <w:t>3</w:t>
            </w:r>
          </w:p>
        </w:tc>
      </w:tr>
      <w:tr w:rsidR="00C71341" w:rsidRPr="0099543A" w14:paraId="505A7F7A" w14:textId="047C660C" w:rsidTr="00F32B0A">
        <w:trPr>
          <w:trHeight w:val="288"/>
        </w:trPr>
        <w:tc>
          <w:tcPr>
            <w:tcW w:w="1345" w:type="dxa"/>
            <w:noWrap/>
            <w:vAlign w:val="center"/>
            <w:hideMark/>
          </w:tcPr>
          <w:p w14:paraId="113A58EA" w14:textId="77777777" w:rsidR="00C71341" w:rsidRPr="0099543A" w:rsidRDefault="00C71341" w:rsidP="00F32B0A">
            <w:pPr>
              <w:jc w:val="center"/>
              <w:rPr>
                <w:color w:val="000000"/>
              </w:rPr>
            </w:pPr>
            <w:r w:rsidRPr="0099543A">
              <w:rPr>
                <w:color w:val="000000"/>
              </w:rPr>
              <w:t>85132</w:t>
            </w:r>
          </w:p>
        </w:tc>
        <w:tc>
          <w:tcPr>
            <w:tcW w:w="3329" w:type="dxa"/>
            <w:noWrap/>
            <w:vAlign w:val="center"/>
            <w:hideMark/>
          </w:tcPr>
          <w:p w14:paraId="0671B897" w14:textId="77777777" w:rsidR="00C71341" w:rsidRPr="0099543A" w:rsidRDefault="00C71341" w:rsidP="00F32B0A">
            <w:pPr>
              <w:rPr>
                <w:color w:val="000000"/>
              </w:rPr>
            </w:pPr>
            <w:r w:rsidRPr="0099543A">
              <w:rPr>
                <w:color w:val="000000"/>
              </w:rPr>
              <w:t xml:space="preserve">Manganese Pm10 </w:t>
            </w:r>
            <w:proofErr w:type="spellStart"/>
            <w:r w:rsidRPr="0099543A">
              <w:rPr>
                <w:color w:val="000000"/>
              </w:rPr>
              <w:t>Lc</w:t>
            </w:r>
            <w:proofErr w:type="spellEnd"/>
          </w:p>
        </w:tc>
        <w:tc>
          <w:tcPr>
            <w:tcW w:w="622" w:type="dxa"/>
            <w:noWrap/>
            <w:vAlign w:val="center"/>
            <w:hideMark/>
          </w:tcPr>
          <w:p w14:paraId="53C33971"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037F93EC" w14:textId="77777777" w:rsidR="00C71341" w:rsidRPr="0099543A" w:rsidRDefault="00C71341" w:rsidP="00F32B0A">
            <w:pPr>
              <w:jc w:val="center"/>
              <w:rPr>
                <w:color w:val="000000"/>
              </w:rPr>
            </w:pPr>
            <w:r w:rsidRPr="0099543A">
              <w:rPr>
                <w:color w:val="000000"/>
              </w:rPr>
              <w:t>2015</w:t>
            </w:r>
          </w:p>
        </w:tc>
        <w:tc>
          <w:tcPr>
            <w:tcW w:w="1215" w:type="dxa"/>
            <w:vAlign w:val="center"/>
          </w:tcPr>
          <w:p w14:paraId="78BD4801" w14:textId="2635D4E8" w:rsidR="00C71341" w:rsidRPr="0099543A" w:rsidRDefault="00C71341" w:rsidP="00F32B0A">
            <w:pPr>
              <w:jc w:val="center"/>
              <w:rPr>
                <w:color w:val="000000"/>
              </w:rPr>
            </w:pPr>
            <w:r>
              <w:rPr>
                <w:color w:val="000000"/>
              </w:rPr>
              <w:t>X</w:t>
            </w:r>
          </w:p>
        </w:tc>
        <w:tc>
          <w:tcPr>
            <w:tcW w:w="1215" w:type="dxa"/>
            <w:vAlign w:val="center"/>
          </w:tcPr>
          <w:p w14:paraId="336389A4" w14:textId="2F7620EB" w:rsidR="00C71341" w:rsidRDefault="00AC675A" w:rsidP="00F32B0A">
            <w:pPr>
              <w:jc w:val="center"/>
              <w:rPr>
                <w:color w:val="000000"/>
              </w:rPr>
            </w:pPr>
            <w:r>
              <w:rPr>
                <w:color w:val="000000"/>
              </w:rPr>
              <w:t>23</w:t>
            </w:r>
          </w:p>
        </w:tc>
      </w:tr>
      <w:tr w:rsidR="00C71341" w:rsidRPr="0099543A" w14:paraId="0AD840ED" w14:textId="0CA423A9" w:rsidTr="00F32B0A">
        <w:trPr>
          <w:trHeight w:val="288"/>
        </w:trPr>
        <w:tc>
          <w:tcPr>
            <w:tcW w:w="1345" w:type="dxa"/>
            <w:noWrap/>
            <w:vAlign w:val="center"/>
            <w:hideMark/>
          </w:tcPr>
          <w:p w14:paraId="3AD954BF" w14:textId="77777777" w:rsidR="00C71341" w:rsidRPr="0099543A" w:rsidRDefault="00C71341" w:rsidP="00F32B0A">
            <w:pPr>
              <w:jc w:val="center"/>
              <w:rPr>
                <w:color w:val="000000"/>
              </w:rPr>
            </w:pPr>
            <w:r w:rsidRPr="0099543A">
              <w:rPr>
                <w:color w:val="000000"/>
              </w:rPr>
              <w:t>85136</w:t>
            </w:r>
          </w:p>
        </w:tc>
        <w:tc>
          <w:tcPr>
            <w:tcW w:w="3329" w:type="dxa"/>
            <w:noWrap/>
            <w:vAlign w:val="center"/>
            <w:hideMark/>
          </w:tcPr>
          <w:p w14:paraId="3E94ECAB" w14:textId="77777777" w:rsidR="00C71341" w:rsidRPr="0099543A" w:rsidRDefault="00C71341" w:rsidP="00F32B0A">
            <w:pPr>
              <w:rPr>
                <w:color w:val="000000"/>
              </w:rPr>
            </w:pPr>
            <w:r w:rsidRPr="0099543A">
              <w:rPr>
                <w:color w:val="000000"/>
              </w:rPr>
              <w:t xml:space="preserve">Nickel Pm10 </w:t>
            </w:r>
            <w:proofErr w:type="spellStart"/>
            <w:r w:rsidRPr="0099543A">
              <w:rPr>
                <w:color w:val="000000"/>
              </w:rPr>
              <w:t>Lc</w:t>
            </w:r>
            <w:proofErr w:type="spellEnd"/>
          </w:p>
        </w:tc>
        <w:tc>
          <w:tcPr>
            <w:tcW w:w="622" w:type="dxa"/>
            <w:noWrap/>
            <w:vAlign w:val="center"/>
            <w:hideMark/>
          </w:tcPr>
          <w:p w14:paraId="72482852" w14:textId="77777777" w:rsidR="00C71341" w:rsidRPr="0099543A" w:rsidRDefault="00C71341" w:rsidP="00F32B0A">
            <w:pPr>
              <w:jc w:val="center"/>
              <w:rPr>
                <w:color w:val="000000"/>
              </w:rPr>
            </w:pPr>
            <w:r w:rsidRPr="0099543A">
              <w:rPr>
                <w:color w:val="000000"/>
              </w:rPr>
              <w:t>2003</w:t>
            </w:r>
          </w:p>
        </w:tc>
        <w:tc>
          <w:tcPr>
            <w:tcW w:w="864" w:type="dxa"/>
            <w:noWrap/>
            <w:vAlign w:val="center"/>
            <w:hideMark/>
          </w:tcPr>
          <w:p w14:paraId="553FC793" w14:textId="77777777" w:rsidR="00C71341" w:rsidRPr="0099543A" w:rsidRDefault="00C71341" w:rsidP="00F32B0A">
            <w:pPr>
              <w:jc w:val="center"/>
              <w:rPr>
                <w:color w:val="000000"/>
              </w:rPr>
            </w:pPr>
            <w:r w:rsidRPr="0099543A">
              <w:rPr>
                <w:color w:val="000000"/>
              </w:rPr>
              <w:t>2015</w:t>
            </w:r>
          </w:p>
        </w:tc>
        <w:tc>
          <w:tcPr>
            <w:tcW w:w="1215" w:type="dxa"/>
            <w:vAlign w:val="center"/>
          </w:tcPr>
          <w:p w14:paraId="2707CEC4" w14:textId="7B863FA7" w:rsidR="00C71341" w:rsidRPr="0099543A" w:rsidRDefault="00C71341" w:rsidP="00F32B0A">
            <w:pPr>
              <w:jc w:val="center"/>
              <w:rPr>
                <w:color w:val="000000"/>
              </w:rPr>
            </w:pPr>
            <w:r>
              <w:rPr>
                <w:color w:val="000000"/>
              </w:rPr>
              <w:t>X</w:t>
            </w:r>
          </w:p>
        </w:tc>
        <w:tc>
          <w:tcPr>
            <w:tcW w:w="1215" w:type="dxa"/>
            <w:vAlign w:val="center"/>
          </w:tcPr>
          <w:p w14:paraId="0FF8BE06" w14:textId="6F0F7547" w:rsidR="00C71341" w:rsidRDefault="00AC675A" w:rsidP="00F32B0A">
            <w:pPr>
              <w:jc w:val="center"/>
              <w:rPr>
                <w:color w:val="000000"/>
              </w:rPr>
            </w:pPr>
            <w:r>
              <w:rPr>
                <w:color w:val="000000"/>
              </w:rPr>
              <w:t>19</w:t>
            </w:r>
          </w:p>
        </w:tc>
      </w:tr>
      <w:tr w:rsidR="00AC675A" w14:paraId="1DF9A115" w14:textId="549EA56D" w:rsidTr="00F32B0A">
        <w:trPr>
          <w:trHeight w:val="215"/>
        </w:trPr>
        <w:tc>
          <w:tcPr>
            <w:tcW w:w="8590" w:type="dxa"/>
            <w:gridSpan w:val="6"/>
            <w:vAlign w:val="center"/>
          </w:tcPr>
          <w:p w14:paraId="653D17BE" w14:textId="364D0C8B" w:rsidR="00AC675A" w:rsidRDefault="00AC675A" w:rsidP="00F32B0A">
            <w:pPr>
              <w:jc w:val="center"/>
              <w:rPr>
                <w:vertAlign w:val="superscript"/>
              </w:rPr>
            </w:pPr>
            <w:proofErr w:type="spellStart"/>
            <w:r>
              <w:rPr>
                <w:vertAlign w:val="superscript"/>
              </w:rPr>
              <w:t>a</w:t>
            </w:r>
            <w:proofErr w:type="spellEnd"/>
            <w:r>
              <w:rPr>
                <w:vertAlign w:val="superscript"/>
              </w:rPr>
              <w:t xml:space="preserve"> </w:t>
            </w:r>
            <w:proofErr w:type="gramStart"/>
            <w:r w:rsidRPr="00AC675A">
              <w:t>The</w:t>
            </w:r>
            <w:proofErr w:type="gramEnd"/>
            <w:r w:rsidRPr="00AC675A">
              <w:t xml:space="preserve"> re</w:t>
            </w:r>
            <w:r>
              <w:t>q</w:t>
            </w:r>
            <w:r w:rsidRPr="00AC675A">
              <w:t>uirement for</w:t>
            </w:r>
            <w:r>
              <w:rPr>
                <w:vertAlign w:val="superscript"/>
              </w:rPr>
              <w:t xml:space="preserve"> </w:t>
            </w:r>
            <w:r>
              <w:t>Chromium VI was discontinued after 2012</w:t>
            </w:r>
          </w:p>
        </w:tc>
      </w:tr>
    </w:tbl>
    <w:p w14:paraId="0AAD0A95" w14:textId="77777777" w:rsidR="0099543A" w:rsidRDefault="0099543A" w:rsidP="0034052A"/>
    <w:p w14:paraId="70277644" w14:textId="7C8D70A0" w:rsidR="00406876" w:rsidRPr="00406876" w:rsidRDefault="00ED3A76" w:rsidP="005B65CA">
      <w:pPr>
        <w:pStyle w:val="Heading4"/>
      </w:pPr>
      <w:r>
        <w:t>D</w:t>
      </w:r>
      <w:r w:rsidR="00025807">
        <w:t>etermining Site Trends</w:t>
      </w:r>
    </w:p>
    <w:p w14:paraId="43004E1C" w14:textId="63E558F5" w:rsidR="0034052A" w:rsidRDefault="0034052A" w:rsidP="0034052A">
      <w:r>
        <w:t xml:space="preserve">Once the annual means were computed, </w:t>
      </w:r>
      <w:proofErr w:type="gramStart"/>
      <w:r>
        <w:t>the Spearman rank correlation and significance test was run by site and pollutant</w:t>
      </w:r>
      <w:proofErr w:type="gramEnd"/>
      <w:r>
        <w:t xml:space="preserve"> to determine the relationship between the mean annual concentration and the year. </w:t>
      </w:r>
      <w:r w:rsidR="009F6E59">
        <w:t xml:space="preserve"> For this </w:t>
      </w:r>
      <w:proofErr w:type="gramStart"/>
      <w:r w:rsidR="009F6E59">
        <w:t>determination</w:t>
      </w:r>
      <w:proofErr w:type="gramEnd"/>
      <w:r w:rsidR="009F6E59">
        <w:t xml:space="preserve"> all available data between 2003 and 2015 were used. </w:t>
      </w:r>
      <w:r>
        <w:t>No missing years were gap filled.</w:t>
      </w:r>
      <w:r w:rsidR="00E3439B">
        <w:t xml:space="preserve">  </w:t>
      </w:r>
      <w:r>
        <w:t xml:space="preserve">A p-value of less than or equal to 0.05 and a negative Spearman coefficient was considered a decreasing trend, a p-value of less than or equal to 0.05 and a positive Spearman coefficient was considered a decreasing trend, and a p-value greater than 0.05 was considered to have no trend (“none”).  </w:t>
      </w:r>
      <w:r w:rsidR="0043230F">
        <w:t xml:space="preserve">A trend could not be determined for site-pollutant pairs </w:t>
      </w:r>
      <w:r>
        <w:t>with less than 4 years of data</w:t>
      </w:r>
      <w:r w:rsidR="0043230F">
        <w:t>, and are therefore classified as “undetermined.”</w:t>
      </w:r>
      <w:r w:rsidR="00E3439B">
        <w:t xml:space="preserve">  </w:t>
      </w:r>
      <w:r w:rsidR="00A03057">
        <w:t xml:space="preserve">These sites </w:t>
      </w:r>
      <w:r>
        <w:t>may have had</w:t>
      </w:r>
      <w:r w:rsidR="00E3439B">
        <w:t xml:space="preserve"> </w:t>
      </w:r>
      <w:r>
        <w:t xml:space="preserve">80% or more ND </w:t>
      </w:r>
      <w:r w:rsidR="00A03057">
        <w:t xml:space="preserve">in some years, and insufficient data to </w:t>
      </w:r>
      <w:r w:rsidR="005A77A4">
        <w:t>meet the</w:t>
      </w:r>
      <w:r>
        <w:t xml:space="preserve"> completeness criteria</w:t>
      </w:r>
      <w:r w:rsidR="00A03057">
        <w:t xml:space="preserve"> in other years such that there were </w:t>
      </w:r>
      <w:r w:rsidR="00E3439B">
        <w:t>less than 4 years</w:t>
      </w:r>
      <w:r w:rsidR="00A03057">
        <w:t xml:space="preserve"> for which an annual mean could be computed</w:t>
      </w:r>
      <w:r>
        <w:t xml:space="preserve">.  </w:t>
      </w:r>
      <w:r w:rsidR="002113D0">
        <w:t xml:space="preserve">Three of the NATTS </w:t>
      </w:r>
      <w:r w:rsidR="00B16710">
        <w:t xml:space="preserve">locations </w:t>
      </w:r>
      <w:r w:rsidR="002113D0">
        <w:t xml:space="preserve">moved during the </w:t>
      </w:r>
      <w:proofErr w:type="gramStart"/>
      <w:r w:rsidR="002113D0">
        <w:t>time period</w:t>
      </w:r>
      <w:proofErr w:type="gramEnd"/>
      <w:r w:rsidR="002113D0">
        <w:t xml:space="preserve">: Bronx, NY; a rural site in Wisconsin and a rural site in Kentucky.  For these sites, the trend was determined based on </w:t>
      </w:r>
      <w:r w:rsidR="00B16710">
        <w:t xml:space="preserve">combining </w:t>
      </w:r>
      <w:r w:rsidR="002113D0">
        <w:t xml:space="preserve">annual means </w:t>
      </w:r>
      <w:r w:rsidR="00B16710">
        <w:t xml:space="preserve">across the 2 sites </w:t>
      </w:r>
      <w:r w:rsidR="002113D0">
        <w:t>as follows</w:t>
      </w:r>
      <w:r w:rsidR="00D51F9B">
        <w:t>, as it was assumed the locations were capturing similar air sheds</w:t>
      </w:r>
      <w:r w:rsidR="002113D0">
        <w:t xml:space="preserve">: </w:t>
      </w:r>
    </w:p>
    <w:p w14:paraId="43004E1D" w14:textId="2418F01C" w:rsidR="0034052A" w:rsidRDefault="0034052A" w:rsidP="0034052A"/>
    <w:tbl>
      <w:tblPr>
        <w:tblStyle w:val="TableGrid"/>
        <w:tblW w:w="0" w:type="auto"/>
        <w:tblLook w:val="04A0" w:firstRow="1" w:lastRow="0" w:firstColumn="1" w:lastColumn="0" w:noHBand="0" w:noVBand="1"/>
      </w:tblPr>
      <w:tblGrid>
        <w:gridCol w:w="3116"/>
        <w:gridCol w:w="2099"/>
        <w:gridCol w:w="3060"/>
      </w:tblGrid>
      <w:tr w:rsidR="002113D0" w14:paraId="1CABAE7C" w14:textId="77777777" w:rsidTr="00D51F9B">
        <w:tc>
          <w:tcPr>
            <w:tcW w:w="3116" w:type="dxa"/>
            <w:vAlign w:val="center"/>
          </w:tcPr>
          <w:p w14:paraId="3C9BE2CF" w14:textId="65EE1D29" w:rsidR="002113D0" w:rsidRDefault="00FF4778" w:rsidP="00D51F9B">
            <w:pPr>
              <w:jc w:val="center"/>
            </w:pPr>
            <w:r>
              <w:t xml:space="preserve">NATTS </w:t>
            </w:r>
            <w:r w:rsidR="002113D0">
              <w:t>Site</w:t>
            </w:r>
          </w:p>
        </w:tc>
        <w:tc>
          <w:tcPr>
            <w:tcW w:w="2099" w:type="dxa"/>
            <w:vAlign w:val="center"/>
          </w:tcPr>
          <w:p w14:paraId="4358E555" w14:textId="0AD151FC" w:rsidR="002113D0" w:rsidRDefault="00FF4778" w:rsidP="00D51F9B">
            <w:pPr>
              <w:jc w:val="center"/>
            </w:pPr>
            <w:r>
              <w:t>Years</w:t>
            </w:r>
          </w:p>
        </w:tc>
        <w:tc>
          <w:tcPr>
            <w:tcW w:w="3060" w:type="dxa"/>
          </w:tcPr>
          <w:p w14:paraId="4462C851" w14:textId="05119573" w:rsidR="002113D0" w:rsidRDefault="002113D0" w:rsidP="0034052A">
            <w:r>
              <w:t>Trend based on Combination of</w:t>
            </w:r>
          </w:p>
        </w:tc>
      </w:tr>
      <w:tr w:rsidR="002113D0" w14:paraId="71BC1D19" w14:textId="77777777" w:rsidTr="00B16710">
        <w:tc>
          <w:tcPr>
            <w:tcW w:w="3116" w:type="dxa"/>
          </w:tcPr>
          <w:p w14:paraId="01518379" w14:textId="3176A3D8" w:rsidR="002113D0" w:rsidRDefault="00FF4778" w:rsidP="002113D0">
            <w:r w:rsidRPr="00FF4778">
              <w:t xml:space="preserve">Grayson Lake, KY </w:t>
            </w:r>
            <w:r w:rsidR="002113D0">
              <w:t>(</w:t>
            </w:r>
            <w:r w:rsidRPr="00FF4778">
              <w:t>210430500</w:t>
            </w:r>
            <w:r w:rsidR="00560244">
              <w:t>)</w:t>
            </w:r>
          </w:p>
        </w:tc>
        <w:tc>
          <w:tcPr>
            <w:tcW w:w="2099" w:type="dxa"/>
          </w:tcPr>
          <w:p w14:paraId="2F2D63D1" w14:textId="22DDC832" w:rsidR="002113D0" w:rsidRDefault="00B16710" w:rsidP="0034052A">
            <w:r>
              <w:t>2009-2015</w:t>
            </w:r>
          </w:p>
        </w:tc>
        <w:tc>
          <w:tcPr>
            <w:tcW w:w="3060" w:type="dxa"/>
          </w:tcPr>
          <w:p w14:paraId="7B5B1EDE" w14:textId="0DECD004" w:rsidR="002113D0" w:rsidRDefault="00FF4778" w:rsidP="0034052A">
            <w:r w:rsidRPr="00FF4778">
              <w:t>210430500</w:t>
            </w:r>
            <w:r>
              <w:t xml:space="preserve"> &amp; </w:t>
            </w:r>
            <w:r w:rsidRPr="00FF4778">
              <w:t>211930003</w:t>
            </w:r>
          </w:p>
        </w:tc>
      </w:tr>
      <w:tr w:rsidR="002113D0" w14:paraId="58133274" w14:textId="77777777" w:rsidTr="00B16710">
        <w:tc>
          <w:tcPr>
            <w:tcW w:w="3116" w:type="dxa"/>
          </w:tcPr>
          <w:p w14:paraId="58B546A2" w14:textId="5FD125E1" w:rsidR="002113D0" w:rsidRDefault="00FF4778" w:rsidP="0034052A">
            <w:r>
              <w:t xml:space="preserve">Hazard, </w:t>
            </w:r>
            <w:r w:rsidR="00D51F9B">
              <w:t>KY (</w:t>
            </w:r>
            <w:r w:rsidRPr="00FF4778">
              <w:t>211930003</w:t>
            </w:r>
            <w:r>
              <w:t>)</w:t>
            </w:r>
            <w:r w:rsidR="00560244">
              <w:t xml:space="preserve"> *</w:t>
            </w:r>
          </w:p>
        </w:tc>
        <w:tc>
          <w:tcPr>
            <w:tcW w:w="2099" w:type="dxa"/>
          </w:tcPr>
          <w:p w14:paraId="3D63AD1D" w14:textId="38874193" w:rsidR="002113D0" w:rsidRDefault="00B16710" w:rsidP="0034052A">
            <w:r>
              <w:t>2003-2007</w:t>
            </w:r>
          </w:p>
        </w:tc>
        <w:tc>
          <w:tcPr>
            <w:tcW w:w="3060" w:type="dxa"/>
          </w:tcPr>
          <w:p w14:paraId="33F4F978" w14:textId="5EA5A537" w:rsidR="002113D0" w:rsidRDefault="00FF4778" w:rsidP="0034052A">
            <w:r w:rsidRPr="00FF4778">
              <w:t>210430500</w:t>
            </w:r>
            <w:r>
              <w:t xml:space="preserve"> &amp; </w:t>
            </w:r>
            <w:r w:rsidRPr="00FF4778">
              <w:t>211930003</w:t>
            </w:r>
          </w:p>
        </w:tc>
      </w:tr>
      <w:tr w:rsidR="00D51F9B" w14:paraId="6CF30C04" w14:textId="77777777" w:rsidTr="00D666EA">
        <w:tc>
          <w:tcPr>
            <w:tcW w:w="8275" w:type="dxa"/>
            <w:gridSpan w:val="3"/>
          </w:tcPr>
          <w:p w14:paraId="7D3ECAB2" w14:textId="77777777" w:rsidR="00D51F9B" w:rsidRPr="002113D0" w:rsidRDefault="00D51F9B" w:rsidP="0034052A"/>
        </w:tc>
      </w:tr>
      <w:tr w:rsidR="002113D0" w14:paraId="278176BE" w14:textId="77777777" w:rsidTr="00B16710">
        <w:tc>
          <w:tcPr>
            <w:tcW w:w="3116" w:type="dxa"/>
          </w:tcPr>
          <w:p w14:paraId="5160DE13" w14:textId="0128BD4E" w:rsidR="002113D0" w:rsidRDefault="002113D0" w:rsidP="00FF4778">
            <w:r>
              <w:t>Bronx</w:t>
            </w:r>
            <w:r w:rsidR="00FF4778">
              <w:t>1,</w:t>
            </w:r>
            <w:r>
              <w:t xml:space="preserve"> NY </w:t>
            </w:r>
            <w:r w:rsidR="00FF4778">
              <w:t>(</w:t>
            </w:r>
            <w:r w:rsidR="00FF4778" w:rsidRPr="002113D0">
              <w:t>360050110</w:t>
            </w:r>
            <w:r w:rsidR="00FF4778">
              <w:t>)</w:t>
            </w:r>
            <w:r w:rsidR="00800F8C">
              <w:t xml:space="preserve"> *</w:t>
            </w:r>
          </w:p>
        </w:tc>
        <w:tc>
          <w:tcPr>
            <w:tcW w:w="2099" w:type="dxa"/>
          </w:tcPr>
          <w:p w14:paraId="0C3459A5" w14:textId="3FCD25CB" w:rsidR="002113D0" w:rsidRDefault="00B16710" w:rsidP="00B16710">
            <w:r>
              <w:t>2003-2009, 2013-2015</w:t>
            </w:r>
          </w:p>
        </w:tc>
        <w:tc>
          <w:tcPr>
            <w:tcW w:w="3060" w:type="dxa"/>
          </w:tcPr>
          <w:p w14:paraId="4F5FC125" w14:textId="2A1BCCB8" w:rsidR="002113D0" w:rsidRDefault="00FF4778" w:rsidP="0034052A">
            <w:r w:rsidRPr="002113D0">
              <w:t>360050080</w:t>
            </w:r>
            <w:r>
              <w:t xml:space="preserve"> &amp; </w:t>
            </w:r>
            <w:r w:rsidRPr="002113D0">
              <w:t>360050110</w:t>
            </w:r>
          </w:p>
        </w:tc>
      </w:tr>
      <w:tr w:rsidR="002113D0" w14:paraId="104E9A1B" w14:textId="77777777" w:rsidTr="00B16710">
        <w:tc>
          <w:tcPr>
            <w:tcW w:w="3116" w:type="dxa"/>
          </w:tcPr>
          <w:p w14:paraId="119ACCAB" w14:textId="5F9252B7" w:rsidR="002113D0" w:rsidRDefault="002113D0" w:rsidP="00FF4778">
            <w:r>
              <w:t>Bronx</w:t>
            </w:r>
            <w:r w:rsidR="00FF4778">
              <w:t>2</w:t>
            </w:r>
            <w:r>
              <w:t xml:space="preserve">, NY </w:t>
            </w:r>
            <w:r w:rsidR="00FF4778">
              <w:t>(</w:t>
            </w:r>
            <w:r w:rsidR="00FF4778" w:rsidRPr="002113D0">
              <w:t>360050080</w:t>
            </w:r>
            <w:r w:rsidR="00FF4778">
              <w:t>)</w:t>
            </w:r>
          </w:p>
        </w:tc>
        <w:tc>
          <w:tcPr>
            <w:tcW w:w="2099" w:type="dxa"/>
          </w:tcPr>
          <w:p w14:paraId="7AAA84E0" w14:textId="0FDCEE93" w:rsidR="002113D0" w:rsidRDefault="00B16710" w:rsidP="0034052A">
            <w:r>
              <w:t>2011</w:t>
            </w:r>
          </w:p>
        </w:tc>
        <w:tc>
          <w:tcPr>
            <w:tcW w:w="3060" w:type="dxa"/>
          </w:tcPr>
          <w:p w14:paraId="7AB86D86" w14:textId="11718753" w:rsidR="002113D0" w:rsidRDefault="00FF4778" w:rsidP="0034052A">
            <w:r w:rsidRPr="002113D0">
              <w:t>360050080</w:t>
            </w:r>
            <w:r>
              <w:t xml:space="preserve"> &amp; </w:t>
            </w:r>
            <w:r w:rsidRPr="002113D0">
              <w:t>360050110</w:t>
            </w:r>
          </w:p>
        </w:tc>
      </w:tr>
      <w:tr w:rsidR="00D51F9B" w14:paraId="60483BCD" w14:textId="77777777" w:rsidTr="00805DBF">
        <w:tc>
          <w:tcPr>
            <w:tcW w:w="8275" w:type="dxa"/>
            <w:gridSpan w:val="3"/>
          </w:tcPr>
          <w:p w14:paraId="333A57D4" w14:textId="77777777" w:rsidR="00D51F9B" w:rsidRPr="00FF4778" w:rsidRDefault="00D51F9B" w:rsidP="0034052A"/>
        </w:tc>
      </w:tr>
      <w:tr w:rsidR="002113D0" w14:paraId="346CA863" w14:textId="77777777" w:rsidTr="00B16710">
        <w:tc>
          <w:tcPr>
            <w:tcW w:w="3116" w:type="dxa"/>
          </w:tcPr>
          <w:p w14:paraId="1DD322A3" w14:textId="4D52197D" w:rsidR="002113D0" w:rsidRDefault="002113D0" w:rsidP="00FF4778">
            <w:r>
              <w:t>Mayville, Wisconsin</w:t>
            </w:r>
            <w:r w:rsidR="00FF4778">
              <w:t xml:space="preserve"> (</w:t>
            </w:r>
            <w:r w:rsidR="00FF4778" w:rsidRPr="00FF4778">
              <w:t>55027000</w:t>
            </w:r>
            <w:r w:rsidR="00FF4778">
              <w:t>7)</w:t>
            </w:r>
            <w:r w:rsidR="00560244">
              <w:t xml:space="preserve"> *</w:t>
            </w:r>
          </w:p>
        </w:tc>
        <w:tc>
          <w:tcPr>
            <w:tcW w:w="2099" w:type="dxa"/>
          </w:tcPr>
          <w:p w14:paraId="47E48CD3" w14:textId="09C2584D" w:rsidR="002113D0" w:rsidRDefault="00B16710" w:rsidP="0034052A">
            <w:r>
              <w:t>2003-2009</w:t>
            </w:r>
          </w:p>
        </w:tc>
        <w:tc>
          <w:tcPr>
            <w:tcW w:w="3060" w:type="dxa"/>
          </w:tcPr>
          <w:p w14:paraId="25FB4AAD" w14:textId="57936F1E" w:rsidR="002113D0" w:rsidRDefault="00FF4778" w:rsidP="0034052A">
            <w:r w:rsidRPr="00FF4778">
              <w:t>55027000</w:t>
            </w:r>
            <w:r>
              <w:t xml:space="preserve">7 &amp; </w:t>
            </w:r>
            <w:r w:rsidRPr="00FF4778">
              <w:t>550270001</w:t>
            </w:r>
          </w:p>
        </w:tc>
      </w:tr>
      <w:tr w:rsidR="002113D0" w14:paraId="461BAEB8" w14:textId="77777777" w:rsidTr="00B16710">
        <w:tc>
          <w:tcPr>
            <w:tcW w:w="3116" w:type="dxa"/>
          </w:tcPr>
          <w:p w14:paraId="42342554" w14:textId="2233A815" w:rsidR="002113D0" w:rsidRDefault="002113D0" w:rsidP="00FF4778">
            <w:r>
              <w:t xml:space="preserve">Horicon Wisconsin </w:t>
            </w:r>
            <w:r w:rsidR="00FF4778">
              <w:t>(</w:t>
            </w:r>
            <w:r w:rsidR="00FF4778" w:rsidRPr="00FF4778">
              <w:t>550270001</w:t>
            </w:r>
            <w:r w:rsidR="00FF4778">
              <w:t xml:space="preserve">) </w:t>
            </w:r>
          </w:p>
        </w:tc>
        <w:tc>
          <w:tcPr>
            <w:tcW w:w="2099" w:type="dxa"/>
          </w:tcPr>
          <w:p w14:paraId="6588CC86" w14:textId="0721C645" w:rsidR="002113D0" w:rsidRDefault="00B16710" w:rsidP="0034052A">
            <w:r>
              <w:t>2010-2015</w:t>
            </w:r>
          </w:p>
        </w:tc>
        <w:tc>
          <w:tcPr>
            <w:tcW w:w="3060" w:type="dxa"/>
          </w:tcPr>
          <w:p w14:paraId="4C1B15AF" w14:textId="18A083EF" w:rsidR="002113D0" w:rsidRDefault="00FF4778" w:rsidP="0034052A">
            <w:r w:rsidRPr="00FF4778">
              <w:t>55027000</w:t>
            </w:r>
            <w:r>
              <w:t xml:space="preserve">7 &amp; </w:t>
            </w:r>
            <w:r w:rsidRPr="00FF4778">
              <w:t>550270001</w:t>
            </w:r>
          </w:p>
        </w:tc>
      </w:tr>
      <w:tr w:rsidR="00560244" w14:paraId="29E190A9" w14:textId="77777777" w:rsidTr="00C12447">
        <w:tc>
          <w:tcPr>
            <w:tcW w:w="8275" w:type="dxa"/>
            <w:gridSpan w:val="3"/>
          </w:tcPr>
          <w:p w14:paraId="425DF735" w14:textId="6C69B912" w:rsidR="00560244" w:rsidRPr="00FF4778" w:rsidRDefault="00560244" w:rsidP="0034052A">
            <w:r>
              <w:t>*This is the site id displayed on the map for the combined tend</w:t>
            </w:r>
          </w:p>
        </w:tc>
      </w:tr>
    </w:tbl>
    <w:p w14:paraId="6BC022AF" w14:textId="3C1FF032" w:rsidR="002113D0" w:rsidRDefault="002113D0" w:rsidP="0034052A"/>
    <w:p w14:paraId="43004E1E" w14:textId="7E01DA9A" w:rsidR="0034052A" w:rsidRPr="00ED3A76" w:rsidRDefault="00ED3A76" w:rsidP="005B65CA">
      <w:pPr>
        <w:pStyle w:val="Heading4"/>
      </w:pPr>
      <w:bookmarkStart w:id="1" w:name="_Aggregating_Site_Trends"/>
      <w:bookmarkEnd w:id="1"/>
      <w:r>
        <w:lastRenderedPageBreak/>
        <w:t>A</w:t>
      </w:r>
      <w:r w:rsidR="00025807">
        <w:t>ggregating Site Trends to Produce National Pollutant Trends</w:t>
      </w:r>
    </w:p>
    <w:p w14:paraId="0AA22AED" w14:textId="6E94B1FF" w:rsidR="00526EFB" w:rsidRDefault="00526EFB" w:rsidP="0034052A">
      <w:r>
        <w:t>Individual site data were aggregated to produce a national</w:t>
      </w:r>
      <w:r w:rsidR="00085EF6">
        <w:t xml:space="preserve"> aggregate trend by pollutant. </w:t>
      </w:r>
      <w:r>
        <w:t xml:space="preserve">For a site to be included </w:t>
      </w:r>
      <w:proofErr w:type="gramStart"/>
      <w:r>
        <w:t>in the aggregate</w:t>
      </w:r>
      <w:proofErr w:type="gramEnd"/>
      <w:r>
        <w:t xml:space="preserve"> trend</w:t>
      </w:r>
      <w:r w:rsidR="00CD5FD2">
        <w:t xml:space="preserve"> (i.e., “national stats site”)</w:t>
      </w:r>
      <w:r>
        <w:t>, it needed to have</w:t>
      </w:r>
      <w:r w:rsidR="00DE413B">
        <w:t xml:space="preserve"> annual averages for at least </w:t>
      </w:r>
      <w:r>
        <w:t>75</w:t>
      </w:r>
      <w:r w:rsidR="003A451F">
        <w:t>% of</w:t>
      </w:r>
      <w:r>
        <w:t xml:space="preserve"> the years.  Most pollutants’ trends were 2003 to 2015, therefore, at least 9 years were required.</w:t>
      </w:r>
      <w:r w:rsidR="00DE413B">
        <w:t xml:space="preserve"> </w:t>
      </w:r>
      <w:r w:rsidR="00406876">
        <w:t xml:space="preserve">The annual means for the </w:t>
      </w:r>
      <w:r w:rsidR="00B16710">
        <w:t xml:space="preserve">NATTS </w:t>
      </w:r>
      <w:r w:rsidR="00406876">
        <w:t xml:space="preserve">sites </w:t>
      </w:r>
      <w:r w:rsidR="00B16710">
        <w:t>that moved (as described above- Bronx, NY</w:t>
      </w:r>
      <w:r w:rsidR="00D51F9B">
        <w:t xml:space="preserve">, </w:t>
      </w:r>
      <w:proofErr w:type="gramStart"/>
      <w:r w:rsidR="00D51F9B">
        <w:t>WI</w:t>
      </w:r>
      <w:proofErr w:type="gramEnd"/>
      <w:r w:rsidR="00B16710">
        <w:t xml:space="preserve"> and KY) </w:t>
      </w:r>
      <w:r w:rsidR="00406876">
        <w:t>were combined across years prior to applying the 75% criterion as it was assumed they were capturing a similar air shed. The combined sites allowed their use in the national aggregate trends; individually they would not have met the completeness criterion. In addition to the 75% completeness criterion, a site</w:t>
      </w:r>
      <w:r w:rsidR="00085EF6">
        <w:t xml:space="preserve"> was required</w:t>
      </w:r>
      <w:r w:rsidR="00406876">
        <w:t xml:space="preserve"> to have no more than 2 missing consecutive years. Missing years were filled in by interpolation. A missing end year used the year prior with no adjustment. If the begin-year was missing, an earlier year</w:t>
      </w:r>
      <w:r w:rsidR="00085EF6">
        <w:t xml:space="preserve"> was interpolated</w:t>
      </w:r>
      <w:r w:rsidR="00406876">
        <w:t>, if available.  If not, the begin year equal to the next year lowest year (e.g., the 2004 value would be used for 2003)</w:t>
      </w:r>
      <w:r w:rsidR="00085EF6">
        <w:t xml:space="preserve"> was set</w:t>
      </w:r>
      <w:r w:rsidR="00406876">
        <w:t>. Once all missing data were filled in, the 10</w:t>
      </w:r>
      <w:r w:rsidR="00406876" w:rsidRPr="00406876">
        <w:rPr>
          <w:vertAlign w:val="superscript"/>
        </w:rPr>
        <w:t>th</w:t>
      </w:r>
      <w:r w:rsidR="00406876">
        <w:t>, 90</w:t>
      </w:r>
      <w:r w:rsidR="00406876" w:rsidRPr="00406876">
        <w:rPr>
          <w:vertAlign w:val="superscript"/>
        </w:rPr>
        <w:t>th</w:t>
      </w:r>
      <w:r w:rsidR="00406876">
        <w:t xml:space="preserve"> and 50</w:t>
      </w:r>
      <w:r w:rsidR="00406876" w:rsidRPr="00406876">
        <w:rPr>
          <w:vertAlign w:val="superscript"/>
        </w:rPr>
        <w:t>th</w:t>
      </w:r>
      <w:r w:rsidR="00406876">
        <w:t xml:space="preserve"> percentiles by year and pollutant were computed.</w:t>
      </w:r>
    </w:p>
    <w:sectPr w:rsidR="00526EFB" w:rsidSect="003D50D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035A7" w14:textId="77777777" w:rsidR="00C6499F" w:rsidRDefault="00C6499F" w:rsidP="0040295E">
      <w:r>
        <w:separator/>
      </w:r>
    </w:p>
  </w:endnote>
  <w:endnote w:type="continuationSeparator" w:id="0">
    <w:p w14:paraId="01E88912" w14:textId="77777777" w:rsidR="00C6499F" w:rsidRDefault="00C6499F" w:rsidP="0040295E">
      <w:r>
        <w:continuationSeparator/>
      </w:r>
    </w:p>
  </w:endnote>
  <w:endnote w:type="continuationNotice" w:id="1">
    <w:p w14:paraId="1BCCF247" w14:textId="77777777" w:rsidR="00C6499F" w:rsidRDefault="00C64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893918"/>
      <w:docPartObj>
        <w:docPartGallery w:val="Page Numbers (Bottom of Page)"/>
        <w:docPartUnique/>
      </w:docPartObj>
    </w:sdtPr>
    <w:sdtEndPr>
      <w:rPr>
        <w:color w:val="7F7F7F" w:themeColor="background1" w:themeShade="7F"/>
        <w:spacing w:val="60"/>
      </w:rPr>
    </w:sdtEndPr>
    <w:sdtContent>
      <w:p w14:paraId="5353BED5" w14:textId="1BAA24C3" w:rsidR="001020E0" w:rsidRDefault="001020E0">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C878D4">
          <w:rPr>
            <w:noProof/>
          </w:rPr>
          <w:t>5</w:t>
        </w:r>
        <w:r>
          <w:rPr>
            <w:noProof/>
          </w:rPr>
          <w:fldChar w:fldCharType="end"/>
        </w:r>
        <w:r>
          <w:t xml:space="preserve"> | </w:t>
        </w:r>
        <w:r>
          <w:rPr>
            <w:color w:val="7F7F7F" w:themeColor="background1" w:themeShade="7F"/>
            <w:spacing w:val="60"/>
          </w:rPr>
          <w:t>Page</w:t>
        </w:r>
      </w:p>
    </w:sdtContent>
  </w:sdt>
  <w:p w14:paraId="33DEA004" w14:textId="77777777" w:rsidR="001020E0" w:rsidRDefault="00102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C31F" w14:textId="77777777" w:rsidR="00C6499F" w:rsidRDefault="00C6499F" w:rsidP="0040295E">
      <w:r>
        <w:separator/>
      </w:r>
    </w:p>
  </w:footnote>
  <w:footnote w:type="continuationSeparator" w:id="0">
    <w:p w14:paraId="5B6A0BD2" w14:textId="77777777" w:rsidR="00C6499F" w:rsidRDefault="00C6499F" w:rsidP="0040295E">
      <w:r>
        <w:continuationSeparator/>
      </w:r>
    </w:p>
  </w:footnote>
  <w:footnote w:type="continuationNotice" w:id="1">
    <w:p w14:paraId="562EB456" w14:textId="77777777" w:rsidR="00C6499F" w:rsidRDefault="00C64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4377" w14:textId="7DBF6149" w:rsidR="001020E0" w:rsidRDefault="001020E0">
    <w:pPr>
      <w:pStyle w:val="Header"/>
    </w:pPr>
    <w:r>
      <w:rPr>
        <w:noProof/>
      </w:rPr>
      <w:drawing>
        <wp:inline distT="0" distB="0" distL="0" distR="0" wp14:anchorId="32043870" wp14:editId="38F38AC0">
          <wp:extent cx="805031"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854318" cy="24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987"/>
    <w:multiLevelType w:val="hybridMultilevel"/>
    <w:tmpl w:val="069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5362D"/>
    <w:multiLevelType w:val="hybridMultilevel"/>
    <w:tmpl w:val="58CC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01B43"/>
    <w:multiLevelType w:val="hybridMultilevel"/>
    <w:tmpl w:val="03C6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612D"/>
    <w:multiLevelType w:val="hybridMultilevel"/>
    <w:tmpl w:val="800CAFAA"/>
    <w:lvl w:ilvl="0" w:tplc="D0D88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87561"/>
    <w:multiLevelType w:val="hybridMultilevel"/>
    <w:tmpl w:val="EF289760"/>
    <w:lvl w:ilvl="0" w:tplc="D0D880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2A"/>
    <w:rsid w:val="00011074"/>
    <w:rsid w:val="0001463F"/>
    <w:rsid w:val="00016243"/>
    <w:rsid w:val="00025807"/>
    <w:rsid w:val="00075C71"/>
    <w:rsid w:val="00085EF6"/>
    <w:rsid w:val="000D12B0"/>
    <w:rsid w:val="000F506B"/>
    <w:rsid w:val="001020E0"/>
    <w:rsid w:val="001B18D8"/>
    <w:rsid w:val="001E016F"/>
    <w:rsid w:val="002113D0"/>
    <w:rsid w:val="00225020"/>
    <w:rsid w:val="002B72E4"/>
    <w:rsid w:val="002F62E9"/>
    <w:rsid w:val="00316177"/>
    <w:rsid w:val="0034052A"/>
    <w:rsid w:val="0037134C"/>
    <w:rsid w:val="003A2796"/>
    <w:rsid w:val="003A451F"/>
    <w:rsid w:val="003D1566"/>
    <w:rsid w:val="003D50DD"/>
    <w:rsid w:val="0040295E"/>
    <w:rsid w:val="00406876"/>
    <w:rsid w:val="00411B9C"/>
    <w:rsid w:val="0043230F"/>
    <w:rsid w:val="004F5ED0"/>
    <w:rsid w:val="00526EFB"/>
    <w:rsid w:val="00560244"/>
    <w:rsid w:val="00563A2A"/>
    <w:rsid w:val="0058341B"/>
    <w:rsid w:val="00595DCA"/>
    <w:rsid w:val="005A77A4"/>
    <w:rsid w:val="005B65CA"/>
    <w:rsid w:val="006D6045"/>
    <w:rsid w:val="00703A10"/>
    <w:rsid w:val="00712644"/>
    <w:rsid w:val="007B777F"/>
    <w:rsid w:val="007D26CE"/>
    <w:rsid w:val="00800F8C"/>
    <w:rsid w:val="00802051"/>
    <w:rsid w:val="00821886"/>
    <w:rsid w:val="00823890"/>
    <w:rsid w:val="008425C1"/>
    <w:rsid w:val="00861D4B"/>
    <w:rsid w:val="008A113D"/>
    <w:rsid w:val="008F6E63"/>
    <w:rsid w:val="00900E04"/>
    <w:rsid w:val="00953552"/>
    <w:rsid w:val="00974FF2"/>
    <w:rsid w:val="0099543A"/>
    <w:rsid w:val="009F6E59"/>
    <w:rsid w:val="00A03057"/>
    <w:rsid w:val="00AC2CA2"/>
    <w:rsid w:val="00AC675A"/>
    <w:rsid w:val="00B16710"/>
    <w:rsid w:val="00B92D4B"/>
    <w:rsid w:val="00C00FE2"/>
    <w:rsid w:val="00C30987"/>
    <w:rsid w:val="00C52709"/>
    <w:rsid w:val="00C6499F"/>
    <w:rsid w:val="00C71341"/>
    <w:rsid w:val="00C74BF4"/>
    <w:rsid w:val="00C878D4"/>
    <w:rsid w:val="00CC3E71"/>
    <w:rsid w:val="00CD5FD2"/>
    <w:rsid w:val="00D0313D"/>
    <w:rsid w:val="00D51F9B"/>
    <w:rsid w:val="00D615FF"/>
    <w:rsid w:val="00D730EC"/>
    <w:rsid w:val="00DE413B"/>
    <w:rsid w:val="00DF5259"/>
    <w:rsid w:val="00DF7A69"/>
    <w:rsid w:val="00E04749"/>
    <w:rsid w:val="00E3439B"/>
    <w:rsid w:val="00E92AB5"/>
    <w:rsid w:val="00EA7D61"/>
    <w:rsid w:val="00EB09F4"/>
    <w:rsid w:val="00ED3A76"/>
    <w:rsid w:val="00F32B0A"/>
    <w:rsid w:val="00F516CC"/>
    <w:rsid w:val="00F672E9"/>
    <w:rsid w:val="00F70C84"/>
    <w:rsid w:val="00F90487"/>
    <w:rsid w:val="00FA7443"/>
    <w:rsid w:val="00FE076D"/>
    <w:rsid w:val="00FF4778"/>
    <w:rsid w:val="04B38F89"/>
    <w:rsid w:val="202C8A3A"/>
    <w:rsid w:val="59E5E5FF"/>
    <w:rsid w:val="6496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04E16"/>
  <w15:chartTrackingRefBased/>
  <w15:docId w15:val="{443DB3D6-F445-48AA-9DA3-9767936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52A"/>
    <w:pPr>
      <w:spacing w:after="0" w:line="240" w:lineRule="auto"/>
    </w:pPr>
    <w:rPr>
      <w:rFonts w:ascii="Calibri" w:hAnsi="Calibri" w:cs="Calibri"/>
    </w:rPr>
  </w:style>
  <w:style w:type="paragraph" w:styleId="Heading1">
    <w:name w:val="heading 1"/>
    <w:basedOn w:val="Normal"/>
    <w:next w:val="Normal"/>
    <w:link w:val="Heading1Char"/>
    <w:uiPriority w:val="9"/>
    <w:qFormat/>
    <w:rsid w:val="004029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2E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4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5C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52A"/>
    <w:rPr>
      <w:color w:val="0563C1"/>
      <w:u w:val="single"/>
    </w:rPr>
  </w:style>
  <w:style w:type="character" w:styleId="FollowedHyperlink">
    <w:name w:val="FollowedHyperlink"/>
    <w:basedOn w:val="DefaultParagraphFont"/>
    <w:uiPriority w:val="99"/>
    <w:semiHidden/>
    <w:unhideWhenUsed/>
    <w:rsid w:val="00411B9C"/>
    <w:rPr>
      <w:color w:val="954F72" w:themeColor="followedHyperlink"/>
      <w:u w:val="single"/>
    </w:rPr>
  </w:style>
  <w:style w:type="paragraph" w:styleId="PlainText">
    <w:name w:val="Plain Text"/>
    <w:basedOn w:val="Normal"/>
    <w:link w:val="PlainTextChar"/>
    <w:uiPriority w:val="99"/>
    <w:semiHidden/>
    <w:unhideWhenUsed/>
    <w:rsid w:val="00ED3A76"/>
    <w:rPr>
      <w:rFonts w:cstheme="minorBidi"/>
      <w:szCs w:val="21"/>
    </w:rPr>
  </w:style>
  <w:style w:type="character" w:customStyle="1" w:styleId="PlainTextChar">
    <w:name w:val="Plain Text Char"/>
    <w:basedOn w:val="DefaultParagraphFont"/>
    <w:link w:val="PlainText"/>
    <w:uiPriority w:val="99"/>
    <w:semiHidden/>
    <w:rsid w:val="00ED3A76"/>
    <w:rPr>
      <w:rFonts w:ascii="Calibri" w:hAnsi="Calibri"/>
      <w:szCs w:val="21"/>
    </w:rPr>
  </w:style>
  <w:style w:type="character" w:customStyle="1" w:styleId="Heading1Char">
    <w:name w:val="Heading 1 Char"/>
    <w:basedOn w:val="DefaultParagraphFont"/>
    <w:link w:val="Heading1"/>
    <w:uiPriority w:val="9"/>
    <w:rsid w:val="0040295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0295E"/>
    <w:pPr>
      <w:tabs>
        <w:tab w:val="center" w:pos="4680"/>
        <w:tab w:val="right" w:pos="9360"/>
      </w:tabs>
    </w:pPr>
  </w:style>
  <w:style w:type="character" w:customStyle="1" w:styleId="HeaderChar">
    <w:name w:val="Header Char"/>
    <w:basedOn w:val="DefaultParagraphFont"/>
    <w:link w:val="Header"/>
    <w:uiPriority w:val="99"/>
    <w:rsid w:val="0040295E"/>
    <w:rPr>
      <w:rFonts w:ascii="Calibri" w:hAnsi="Calibri" w:cs="Calibri"/>
    </w:rPr>
  </w:style>
  <w:style w:type="paragraph" w:styleId="Footer">
    <w:name w:val="footer"/>
    <w:basedOn w:val="Normal"/>
    <w:link w:val="FooterChar"/>
    <w:uiPriority w:val="99"/>
    <w:unhideWhenUsed/>
    <w:rsid w:val="0040295E"/>
    <w:pPr>
      <w:tabs>
        <w:tab w:val="center" w:pos="4680"/>
        <w:tab w:val="right" w:pos="9360"/>
      </w:tabs>
    </w:pPr>
  </w:style>
  <w:style w:type="character" w:customStyle="1" w:styleId="FooterChar">
    <w:name w:val="Footer Char"/>
    <w:basedOn w:val="DefaultParagraphFont"/>
    <w:link w:val="Footer"/>
    <w:uiPriority w:val="99"/>
    <w:rsid w:val="0040295E"/>
    <w:rPr>
      <w:rFonts w:ascii="Calibri" w:hAnsi="Calibri" w:cs="Calibri"/>
    </w:rPr>
  </w:style>
  <w:style w:type="character" w:customStyle="1" w:styleId="Heading2Char">
    <w:name w:val="Heading 2 Char"/>
    <w:basedOn w:val="DefaultParagraphFont"/>
    <w:link w:val="Heading2"/>
    <w:uiPriority w:val="9"/>
    <w:rsid w:val="002B72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2E4"/>
    <w:pPr>
      <w:ind w:left="720"/>
      <w:contextualSpacing/>
    </w:pPr>
  </w:style>
  <w:style w:type="character" w:customStyle="1" w:styleId="Heading3Char">
    <w:name w:val="Heading 3 Char"/>
    <w:basedOn w:val="DefaultParagraphFont"/>
    <w:link w:val="Heading3"/>
    <w:uiPriority w:val="9"/>
    <w:rsid w:val="00F904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5CA"/>
    <w:rPr>
      <w:rFonts w:asciiTheme="majorHAnsi" w:eastAsiaTheme="majorEastAsia" w:hAnsiTheme="majorHAnsi" w:cstheme="majorBidi"/>
      <w:i/>
      <w:iCs/>
      <w:color w:val="2E74B5" w:themeColor="accent1" w:themeShade="BF"/>
    </w:rPr>
  </w:style>
  <w:style w:type="table" w:styleId="TableGrid">
    <w:name w:val="Table Grid"/>
    <w:basedOn w:val="TableNormal"/>
    <w:rsid w:val="006D60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807"/>
    <w:rPr>
      <w:sz w:val="16"/>
      <w:szCs w:val="16"/>
    </w:rPr>
  </w:style>
  <w:style w:type="paragraph" w:styleId="CommentText">
    <w:name w:val="annotation text"/>
    <w:basedOn w:val="Normal"/>
    <w:link w:val="CommentTextChar"/>
    <w:uiPriority w:val="99"/>
    <w:semiHidden/>
    <w:unhideWhenUsed/>
    <w:rsid w:val="00025807"/>
    <w:rPr>
      <w:sz w:val="20"/>
      <w:szCs w:val="20"/>
    </w:rPr>
  </w:style>
  <w:style w:type="character" w:customStyle="1" w:styleId="CommentTextChar">
    <w:name w:val="Comment Text Char"/>
    <w:basedOn w:val="DefaultParagraphFont"/>
    <w:link w:val="CommentText"/>
    <w:uiPriority w:val="99"/>
    <w:semiHidden/>
    <w:rsid w:val="0002580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25807"/>
    <w:rPr>
      <w:b/>
      <w:bCs/>
    </w:rPr>
  </w:style>
  <w:style w:type="character" w:customStyle="1" w:styleId="CommentSubjectChar">
    <w:name w:val="Comment Subject Char"/>
    <w:basedOn w:val="CommentTextChar"/>
    <w:link w:val="CommentSubject"/>
    <w:uiPriority w:val="99"/>
    <w:semiHidden/>
    <w:rsid w:val="00025807"/>
    <w:rPr>
      <w:rFonts w:ascii="Calibri" w:hAnsi="Calibri" w:cs="Calibri"/>
      <w:b/>
      <w:bCs/>
      <w:sz w:val="20"/>
      <w:szCs w:val="20"/>
    </w:rPr>
  </w:style>
  <w:style w:type="paragraph" w:styleId="BalloonText">
    <w:name w:val="Balloon Text"/>
    <w:basedOn w:val="Normal"/>
    <w:link w:val="BalloonTextChar"/>
    <w:uiPriority w:val="99"/>
    <w:semiHidden/>
    <w:unhideWhenUsed/>
    <w:rsid w:val="00025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807"/>
    <w:rPr>
      <w:rFonts w:ascii="Segoe UI" w:hAnsi="Segoe UI" w:cs="Segoe UI"/>
      <w:sz w:val="18"/>
      <w:szCs w:val="18"/>
    </w:rPr>
  </w:style>
  <w:style w:type="paragraph" w:styleId="Revision">
    <w:name w:val="Revision"/>
    <w:hidden/>
    <w:uiPriority w:val="99"/>
    <w:semiHidden/>
    <w:rsid w:val="00AC675A"/>
    <w:pPr>
      <w:spacing w:after="0" w:line="240" w:lineRule="auto"/>
    </w:pPr>
    <w:rPr>
      <w:rFonts w:ascii="Calibri" w:hAnsi="Calibri" w:cs="Calibri"/>
    </w:rPr>
  </w:style>
  <w:style w:type="character" w:customStyle="1" w:styleId="apple-converted-space">
    <w:name w:val="apple-converted-space"/>
    <w:basedOn w:val="DefaultParagraphFont"/>
    <w:rsid w:val="00E04749"/>
  </w:style>
  <w:style w:type="character" w:customStyle="1" w:styleId="fileinfo">
    <w:name w:val="fileinfo"/>
    <w:basedOn w:val="DefaultParagraphFont"/>
    <w:rsid w:val="00E04749"/>
  </w:style>
  <w:style w:type="character" w:styleId="Emphasis">
    <w:name w:val="Emphasis"/>
    <w:basedOn w:val="DefaultParagraphFont"/>
    <w:uiPriority w:val="20"/>
    <w:qFormat/>
    <w:rsid w:val="00FF4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7096">
      <w:bodyDiv w:val="1"/>
      <w:marLeft w:val="0"/>
      <w:marRight w:val="0"/>
      <w:marTop w:val="0"/>
      <w:marBottom w:val="0"/>
      <w:divBdr>
        <w:top w:val="none" w:sz="0" w:space="0" w:color="auto"/>
        <w:left w:val="none" w:sz="0" w:space="0" w:color="auto"/>
        <w:bottom w:val="none" w:sz="0" w:space="0" w:color="auto"/>
        <w:right w:val="none" w:sz="0" w:space="0" w:color="auto"/>
      </w:divBdr>
    </w:div>
    <w:div w:id="598636428">
      <w:bodyDiv w:val="1"/>
      <w:marLeft w:val="0"/>
      <w:marRight w:val="0"/>
      <w:marTop w:val="0"/>
      <w:marBottom w:val="0"/>
      <w:divBdr>
        <w:top w:val="none" w:sz="0" w:space="0" w:color="auto"/>
        <w:left w:val="none" w:sz="0" w:space="0" w:color="auto"/>
        <w:bottom w:val="none" w:sz="0" w:space="0" w:color="auto"/>
        <w:right w:val="none" w:sz="0" w:space="0" w:color="auto"/>
      </w:divBdr>
    </w:div>
    <w:div w:id="780608953">
      <w:bodyDiv w:val="1"/>
      <w:marLeft w:val="0"/>
      <w:marRight w:val="0"/>
      <w:marTop w:val="0"/>
      <w:marBottom w:val="0"/>
      <w:divBdr>
        <w:top w:val="none" w:sz="0" w:space="0" w:color="auto"/>
        <w:left w:val="none" w:sz="0" w:space="0" w:color="auto"/>
        <w:bottom w:val="none" w:sz="0" w:space="0" w:color="auto"/>
        <w:right w:val="none" w:sz="0" w:space="0" w:color="auto"/>
      </w:divBdr>
    </w:div>
    <w:div w:id="1564293329">
      <w:bodyDiv w:val="1"/>
      <w:marLeft w:val="0"/>
      <w:marRight w:val="0"/>
      <w:marTop w:val="0"/>
      <w:marBottom w:val="0"/>
      <w:divBdr>
        <w:top w:val="none" w:sz="0" w:space="0" w:color="auto"/>
        <w:left w:val="none" w:sz="0" w:space="0" w:color="auto"/>
        <w:bottom w:val="none" w:sz="0" w:space="0" w:color="auto"/>
        <w:right w:val="none" w:sz="0" w:space="0" w:color="auto"/>
      </w:divBdr>
    </w:div>
    <w:div w:id="17876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pub.epa.gov/air/trendsreport/2016/" TargetMode="External"/><Relationship Id="rId13" Type="http://schemas.openxmlformats.org/officeDocument/2006/relationships/hyperlink" Target="https://cran.r-project.org/web/packages/NADA/NAD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3.epa.gov/ttn/amtic/files/toxdata/techmemo201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epa.gov/ttn/amtic/files/toxdata/AMA_HAP_DICTIONARY.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3.epa.gov/ttn/amtic/toxdat.html" TargetMode="External"/><Relationship Id="rId4" Type="http://schemas.openxmlformats.org/officeDocument/2006/relationships/settings" Target="settings.xml"/><Relationship Id="rId9" Type="http://schemas.openxmlformats.org/officeDocument/2006/relationships/hyperlink" Target="https://github.com/USEPA/Air-Trends-Repor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3D5C4-E2F7-45C1-9BB9-6488D96E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Strum, Madeleine</dc:creator>
  <cp:keywords/>
  <dc:description/>
  <cp:lastModifiedBy>Arthur Zuco</cp:lastModifiedBy>
  <cp:revision>38</cp:revision>
  <dcterms:created xsi:type="dcterms:W3CDTF">2017-04-25T18:02:00Z</dcterms:created>
  <dcterms:modified xsi:type="dcterms:W3CDTF">2017-07-13T23:16:00Z</dcterms:modified>
</cp:coreProperties>
</file>