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2FC2A0F" w:rsidR="00660172" w:rsidRDefault="002955CF" w:rsidP="002955CF">
      <w:pPr>
        <w:jc w:val="center"/>
        <w:rPr>
          <w:b/>
          <w:bCs/>
        </w:rPr>
      </w:pPr>
      <w:r w:rsidRPr="16CE44A4">
        <w:rPr>
          <w:b/>
          <w:bCs/>
        </w:rPr>
        <w:t>Equitable Resilience</w:t>
      </w:r>
      <w:r w:rsidR="006B17DF">
        <w:rPr>
          <w:b/>
          <w:bCs/>
        </w:rPr>
        <w:t xml:space="preserve"> Concepts Worksheet</w:t>
      </w:r>
    </w:p>
    <w:p w14:paraId="33876867" w14:textId="42A54888" w:rsidR="00BE6D08" w:rsidRPr="00F940D4" w:rsidRDefault="00925931" w:rsidP="16CE44A4">
      <w:pPr>
        <w:rPr>
          <w:i/>
          <w:iCs/>
        </w:rPr>
      </w:pPr>
      <w:r>
        <w:t xml:space="preserve">As </w:t>
      </w:r>
      <w:r w:rsidR="00CF7BF0">
        <w:t>planners and</w:t>
      </w:r>
      <w:r>
        <w:t xml:space="preserve"> practitioners prepare for increased environmental hazards and climate risks, care must be taken to ensure that </w:t>
      </w:r>
      <w:r w:rsidR="00AB49BE">
        <w:t xml:space="preserve">adaptation and resilience measures do not inadvertently add to disproportionate burdens. </w:t>
      </w:r>
      <w:r w:rsidR="00CF7BF0">
        <w:t xml:space="preserve">Local </w:t>
      </w:r>
      <w:r w:rsidR="000F23E9">
        <w:t xml:space="preserve">leaders are increasingly recognizing that deliberate attention to </w:t>
      </w:r>
      <w:r w:rsidR="00FC78A8">
        <w:t xml:space="preserve">rectifying historic inequities is required to </w:t>
      </w:r>
      <w:r w:rsidR="00EA2928">
        <w:t>i</w:t>
      </w:r>
      <w:r w:rsidR="00C40E20">
        <w:t>mprove</w:t>
      </w:r>
      <w:r w:rsidR="00EA2928">
        <w:t xml:space="preserve"> adaptive capacity </w:t>
      </w:r>
      <w:r w:rsidR="00C40E20">
        <w:t xml:space="preserve">and </w:t>
      </w:r>
      <w:r w:rsidR="00F940D4">
        <w:t xml:space="preserve">support </w:t>
      </w:r>
      <w:r w:rsidR="00F940D4">
        <w:rPr>
          <w:i/>
          <w:iCs/>
        </w:rPr>
        <w:t>equitable resilience.</w:t>
      </w:r>
    </w:p>
    <w:p w14:paraId="33C9C50A" w14:textId="422228E3" w:rsidR="0C3D80ED" w:rsidRDefault="0C3D80ED" w:rsidP="16CE44A4">
      <w:r w:rsidRPr="0547FFF6">
        <w:rPr>
          <w:b/>
          <w:bCs/>
        </w:rPr>
        <w:t xml:space="preserve">Equitable resilience </w:t>
      </w:r>
      <w:r>
        <w:t>describes the capacity to withstand, respond, adapt, and transform in the face of</w:t>
      </w:r>
      <w:r w:rsidR="1979765F">
        <w:t xml:space="preserve"> climate </w:t>
      </w:r>
      <w:r>
        <w:t xml:space="preserve">change and disasters in ways that are culturally appropriate, participatory, </w:t>
      </w:r>
      <w:r w:rsidR="1F5BDAA1">
        <w:t xml:space="preserve">and enhances the resilience of the </w:t>
      </w:r>
      <w:r w:rsidR="1F5BDAA1" w:rsidRPr="0547FFF6">
        <w:rPr>
          <w:i/>
          <w:iCs/>
        </w:rPr>
        <w:t xml:space="preserve">community, </w:t>
      </w:r>
      <w:r w:rsidR="1F5BDAA1">
        <w:t xml:space="preserve">not just individual resilience. Equitable resilience acknowledges deeply rooted social forces that affect how </w:t>
      </w:r>
      <w:r w:rsidR="78CBE8F7">
        <w:t xml:space="preserve">community members are made vulnerable to disaster and climate risk, </w:t>
      </w:r>
      <w:r w:rsidR="00790963">
        <w:t xml:space="preserve">may </w:t>
      </w:r>
      <w:r w:rsidR="78CBE8F7">
        <w:t xml:space="preserve">experience cascading consequences of incidents, and </w:t>
      </w:r>
      <w:r w:rsidR="00790963">
        <w:t xml:space="preserve">bear disproportionate </w:t>
      </w:r>
      <w:r w:rsidR="0018430F">
        <w:t xml:space="preserve">benefits burdens of actions </w:t>
      </w:r>
      <w:r w:rsidR="00BE6D08">
        <w:t xml:space="preserve">to increase resilience. </w:t>
      </w:r>
    </w:p>
    <w:p w14:paraId="462C2D86" w14:textId="5B3EE16D" w:rsidR="122D7EF1" w:rsidRDefault="122D7EF1" w:rsidP="0547FFF6">
      <w:pPr>
        <w:rPr>
          <w:rFonts w:ascii="Calibri" w:eastAsia="Times New Roman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82D99D9" wp14:editId="3941A2BC">
            <wp:extent cx="5943600" cy="3343275"/>
            <wp:effectExtent l="0" t="0" r="0" b="0"/>
            <wp:docPr id="921665954" name="Picture 92166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803B" w14:textId="671EB0C8" w:rsidR="002955CF" w:rsidRPr="009E4074" w:rsidRDefault="003A5E10" w:rsidP="002955CF">
      <w:pPr>
        <w:rPr>
          <w:b/>
          <w:bCs/>
        </w:rPr>
      </w:pPr>
      <w:r>
        <w:rPr>
          <w:b/>
          <w:bCs/>
        </w:rPr>
        <w:t>Chapter 3 &amp; 4 ERB activities, outputs, and impacts on community resilience</w:t>
      </w:r>
    </w:p>
    <w:p w14:paraId="44F087A7" w14:textId="77777777" w:rsidR="003A5E10" w:rsidRDefault="003A5E10" w:rsidP="002955C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noProof/>
          <w:color w:val="000000"/>
        </w:rPr>
        <w:lastRenderedPageBreak/>
        <w:drawing>
          <wp:inline distT="0" distB="0" distL="0" distR="0" wp14:anchorId="665CA892" wp14:editId="1CFF1D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B325" w14:textId="77777777" w:rsidR="003A5E10" w:rsidRDefault="003A5E10" w:rsidP="002955C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14:paraId="11BCF682" w14:textId="3DE52E09" w:rsidR="0547FFF6" w:rsidRDefault="0547FFF6" w:rsidP="0547FFF6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</w:rPr>
      </w:pPr>
    </w:p>
    <w:p w14:paraId="14201233" w14:textId="7CB71CB6" w:rsidR="0547FFF6" w:rsidRDefault="0547FFF6" w:rsidP="0547FFF6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</w:rPr>
      </w:pPr>
    </w:p>
    <w:p w14:paraId="4730F84E" w14:textId="5A90E74F" w:rsidR="00EE1C86" w:rsidRDefault="009E4074" w:rsidP="002955C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How do communities benefit from using the ERB tool?</w:t>
      </w:r>
    </w:p>
    <w:p w14:paraId="7C2AD677" w14:textId="77777777" w:rsidR="003A5E10" w:rsidRDefault="003A5E10" w:rsidP="002955C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14:paraId="7B835621" w14:textId="27BAE005" w:rsidR="002955CF" w:rsidRPr="003A5E10" w:rsidRDefault="002955CF" w:rsidP="003A5E1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b/>
          <w:bCs/>
          <w:i/>
          <w:iCs/>
          <w:color w:val="000000"/>
        </w:rPr>
        <w:t>Relationships</w:t>
      </w:r>
      <w:r w:rsidRPr="003A5E10">
        <w:rPr>
          <w:rFonts w:ascii="Calibri" w:eastAsia="Times New Roman" w:hAnsi="Calibri" w:cs="Calibri"/>
        </w:rPr>
        <w:t>​</w:t>
      </w:r>
    </w:p>
    <w:p w14:paraId="334A2EC2" w14:textId="53B6064C" w:rsidR="002955CF" w:rsidRPr="003A5E10" w:rsidRDefault="002955CF" w:rsidP="002955C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color w:val="000000"/>
        </w:rPr>
        <w:t>A stronger network of community organizations and agencies to share information and resources</w:t>
      </w:r>
      <w:r w:rsidRPr="003A5E10">
        <w:rPr>
          <w:rFonts w:ascii="Calibri" w:eastAsia="Times New Roman" w:hAnsi="Calibri" w:cs="Calibri"/>
        </w:rPr>
        <w:t>​</w:t>
      </w:r>
    </w:p>
    <w:p w14:paraId="3FF09A39" w14:textId="77777777" w:rsidR="002955CF" w:rsidRPr="003A5E10" w:rsidRDefault="002955CF" w:rsidP="003A5E1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b/>
          <w:bCs/>
          <w:i/>
          <w:iCs/>
          <w:color w:val="000000"/>
        </w:rPr>
        <w:t>Recognition</w:t>
      </w:r>
      <w:r w:rsidRPr="003A5E10">
        <w:rPr>
          <w:rFonts w:ascii="Calibri" w:eastAsia="Times New Roman" w:hAnsi="Calibri" w:cs="Calibri"/>
        </w:rPr>
        <w:t>​</w:t>
      </w:r>
    </w:p>
    <w:p w14:paraId="0C595D11" w14:textId="77777777" w:rsidR="002955CF" w:rsidRPr="003A5E10" w:rsidRDefault="002955CF" w:rsidP="003A5E1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color w:val="000000"/>
        </w:rPr>
        <w:t>Facilitation guides for holding workshops in trauma-informed ways</w:t>
      </w:r>
      <w:r w:rsidRPr="003A5E10">
        <w:rPr>
          <w:rFonts w:ascii="Calibri" w:eastAsia="Times New Roman" w:hAnsi="Calibri" w:cs="Calibri"/>
        </w:rPr>
        <w:t>​</w:t>
      </w:r>
    </w:p>
    <w:p w14:paraId="5B541F47" w14:textId="77777777" w:rsidR="002955CF" w:rsidRPr="003A5E10" w:rsidRDefault="002955CF" w:rsidP="003A5E1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color w:val="000000"/>
        </w:rPr>
        <w:t>Activity guides for soliciting community perspectives</w:t>
      </w:r>
      <w:r w:rsidRPr="003A5E10">
        <w:rPr>
          <w:rFonts w:ascii="Calibri" w:eastAsia="Times New Roman" w:hAnsi="Calibri" w:cs="Calibri"/>
        </w:rPr>
        <w:t>​</w:t>
      </w:r>
    </w:p>
    <w:p w14:paraId="63DC8DF9" w14:textId="679DA86C" w:rsidR="002955CF" w:rsidRPr="003A5E10" w:rsidRDefault="002955CF" w:rsidP="002955C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color w:val="000000"/>
        </w:rPr>
        <w:t>Local knowledge is valued and utilized alongside scientific data</w:t>
      </w:r>
      <w:r w:rsidRPr="003A5E10">
        <w:rPr>
          <w:rFonts w:ascii="Calibri" w:eastAsia="Times New Roman" w:hAnsi="Calibri" w:cs="Calibri"/>
        </w:rPr>
        <w:t>​</w:t>
      </w:r>
    </w:p>
    <w:p w14:paraId="1F3F7C1A" w14:textId="77777777" w:rsidR="002955CF" w:rsidRPr="003A5E10" w:rsidRDefault="002955CF" w:rsidP="003A5E1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b/>
          <w:bCs/>
          <w:i/>
          <w:iCs/>
          <w:color w:val="000000"/>
        </w:rPr>
        <w:t>Information </w:t>
      </w:r>
      <w:r w:rsidRPr="003A5E10">
        <w:rPr>
          <w:rFonts w:ascii="Calibri" w:eastAsia="Times New Roman" w:hAnsi="Calibri" w:cs="Calibri"/>
        </w:rPr>
        <w:t>​</w:t>
      </w:r>
    </w:p>
    <w:p w14:paraId="6188A179" w14:textId="77777777" w:rsidR="002955CF" w:rsidRPr="003A5E10" w:rsidRDefault="002955CF" w:rsidP="003A5E1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color w:val="000000"/>
        </w:rPr>
        <w:t>Data and maps on hazards, equity, and resilient community systems</w:t>
      </w:r>
      <w:r w:rsidRPr="003A5E10">
        <w:rPr>
          <w:rFonts w:ascii="Calibri" w:eastAsia="Times New Roman" w:hAnsi="Calibri" w:cs="Calibri"/>
        </w:rPr>
        <w:t>​</w:t>
      </w:r>
    </w:p>
    <w:p w14:paraId="234D3F34" w14:textId="07706DCD" w:rsidR="002955CF" w:rsidRPr="003A5E10" w:rsidRDefault="002955CF" w:rsidP="002955C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color w:val="000000"/>
        </w:rPr>
        <w:t>Locally meaningful and measurable indicators to measure future change in built, natural, and social environment systems</w:t>
      </w:r>
      <w:r w:rsidRPr="003A5E10">
        <w:rPr>
          <w:rFonts w:ascii="Calibri" w:eastAsia="Times New Roman" w:hAnsi="Calibri" w:cs="Calibri"/>
        </w:rPr>
        <w:t>​</w:t>
      </w:r>
    </w:p>
    <w:p w14:paraId="657E6AE1" w14:textId="77777777" w:rsidR="002955CF" w:rsidRPr="003A5E10" w:rsidRDefault="002955CF" w:rsidP="003A5E1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b/>
          <w:bCs/>
          <w:i/>
          <w:iCs/>
          <w:color w:val="000000"/>
        </w:rPr>
        <w:t>Action</w:t>
      </w:r>
      <w:r w:rsidRPr="003A5E10">
        <w:rPr>
          <w:rFonts w:ascii="Calibri" w:eastAsia="Times New Roman" w:hAnsi="Calibri" w:cs="Calibri"/>
        </w:rPr>
        <w:t>​</w:t>
      </w:r>
    </w:p>
    <w:p w14:paraId="3DD73465" w14:textId="77777777" w:rsidR="002955CF" w:rsidRPr="003A5E10" w:rsidRDefault="002955CF" w:rsidP="003A5E10">
      <w:pPr>
        <w:pStyle w:val="ListParagraph"/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Segoe UI" w:eastAsia="Times New Roman" w:hAnsi="Segoe UI" w:cs="Segoe UI"/>
        </w:rPr>
      </w:pPr>
      <w:r w:rsidRPr="003A5E10">
        <w:rPr>
          <w:rFonts w:ascii="Calibri" w:eastAsia="Times New Roman" w:hAnsi="Calibri" w:cs="Calibri"/>
          <w:color w:val="000000"/>
        </w:rPr>
        <w:t>A collaboratively prioritized set of actions and next steps for strengthening community resilience in an equitable way</w:t>
      </w:r>
    </w:p>
    <w:p w14:paraId="3B817493" w14:textId="77777777" w:rsidR="002955CF" w:rsidRDefault="002955CF" w:rsidP="002955CF"/>
    <w:p w14:paraId="706DEABA" w14:textId="01799298" w:rsidR="00F67DDD" w:rsidRDefault="00F67DDD" w:rsidP="002955CF">
      <w:pPr>
        <w:rPr>
          <w:b/>
          <w:bCs/>
        </w:rPr>
      </w:pPr>
      <w:r w:rsidRPr="008A74D3">
        <w:rPr>
          <w:b/>
          <w:bCs/>
        </w:rPr>
        <w:t xml:space="preserve">Equitable Resilience </w:t>
      </w:r>
      <w:r w:rsidR="000B34EA">
        <w:rPr>
          <w:b/>
          <w:bCs/>
        </w:rPr>
        <w:t>Builder focuses on three systems</w:t>
      </w:r>
    </w:p>
    <w:p w14:paraId="7E45568B" w14:textId="32A14679" w:rsidR="00AF341E" w:rsidRPr="008A74D3" w:rsidRDefault="002A482D" w:rsidP="002955C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195FAE" wp14:editId="4C172BC0">
            <wp:extent cx="38608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41E" w:rsidRPr="008A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18C5"/>
    <w:multiLevelType w:val="multilevel"/>
    <w:tmpl w:val="DD5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940521"/>
    <w:multiLevelType w:val="hybridMultilevel"/>
    <w:tmpl w:val="D6C6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979799">
    <w:abstractNumId w:val="0"/>
  </w:num>
  <w:num w:numId="2" w16cid:durableId="1942178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UV0XoUBTlBwN6Nw4vghxNKyNwSMQVXMGCRdz2GnNAaof9gZWulECipbmuttfdoytBza1v2jZ4KQdNI4k+d2f5w==" w:salt="ttxkIO563s2VvseOPxkwL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811745"/>
    <w:rsid w:val="000B34EA"/>
    <w:rsid w:val="000F23E9"/>
    <w:rsid w:val="0018430F"/>
    <w:rsid w:val="002955CF"/>
    <w:rsid w:val="002A482D"/>
    <w:rsid w:val="003A5E10"/>
    <w:rsid w:val="00660172"/>
    <w:rsid w:val="006B17DF"/>
    <w:rsid w:val="006C1599"/>
    <w:rsid w:val="00790963"/>
    <w:rsid w:val="007F1830"/>
    <w:rsid w:val="008A74D3"/>
    <w:rsid w:val="00925931"/>
    <w:rsid w:val="009E4074"/>
    <w:rsid w:val="00A27808"/>
    <w:rsid w:val="00AB49BE"/>
    <w:rsid w:val="00AF341E"/>
    <w:rsid w:val="00B954E8"/>
    <w:rsid w:val="00BB5DE1"/>
    <w:rsid w:val="00BE6D08"/>
    <w:rsid w:val="00C40E20"/>
    <w:rsid w:val="00CF7BF0"/>
    <w:rsid w:val="00D95495"/>
    <w:rsid w:val="00DE154F"/>
    <w:rsid w:val="00EA2928"/>
    <w:rsid w:val="00EE1C86"/>
    <w:rsid w:val="00F67DDD"/>
    <w:rsid w:val="00F914C5"/>
    <w:rsid w:val="00F940D4"/>
    <w:rsid w:val="00FC78A8"/>
    <w:rsid w:val="0547FFF6"/>
    <w:rsid w:val="0C3D80ED"/>
    <w:rsid w:val="122D7EF1"/>
    <w:rsid w:val="15327443"/>
    <w:rsid w:val="16CE44A4"/>
    <w:rsid w:val="1979765F"/>
    <w:rsid w:val="1F5BDAA1"/>
    <w:rsid w:val="3215E03E"/>
    <w:rsid w:val="37994C55"/>
    <w:rsid w:val="5A7FC6DF"/>
    <w:rsid w:val="65811745"/>
    <w:rsid w:val="6956BFAC"/>
    <w:rsid w:val="78CBE8F7"/>
    <w:rsid w:val="7A0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1745"/>
  <w15:chartTrackingRefBased/>
  <w15:docId w15:val="{F1295456-C286-4C77-A7D6-044BCCB7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55CF"/>
  </w:style>
  <w:style w:type="character" w:customStyle="1" w:styleId="eop">
    <w:name w:val="eop"/>
    <w:basedOn w:val="DefaultParagraphFont"/>
    <w:rsid w:val="002955CF"/>
  </w:style>
  <w:style w:type="paragraph" w:styleId="ListParagraph">
    <w:name w:val="List Paragraph"/>
    <w:basedOn w:val="Normal"/>
    <w:uiPriority w:val="34"/>
    <w:qFormat/>
    <w:rsid w:val="003A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 xmlns="4ffa91fb-a0ff-4ac5-b2db-65c790d184a4">Shared</Record>
    <Document_x0020_Creation_x0020_Date xmlns="4ffa91fb-a0ff-4ac5-b2db-65c790d184a4">2023-03-13T09:40:27+00:00</Document_x0020_Creation_x0020_Date>
    <Language xmlns="http://schemas.microsoft.com/sharepoint/v3">English</Language>
    <_Source xmlns="http://schemas.microsoft.com/sharepoint/v3/fields" xsi:nil="true"/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_ip_UnifiedCompliancePolicyProperties xmlns="http://schemas.microsoft.com/sharepoint/v3" xsi:nil="true"/>
    <Rights xmlns="4ffa91fb-a0ff-4ac5-b2db-65c790d184a4" xsi:nil="true"/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E4B99-3DCE-4269-BF8F-7BF3FEEC3FB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EC6B7D7F-F342-4CF5-A3E7-DF3C0BE56D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35EF2-3914-49BA-AEFE-30ED23D34CED}">
  <ds:schemaRefs>
    <ds:schemaRef ds:uri="http://schemas.microsoft.com/office/2006/metadata/properties"/>
    <ds:schemaRef ds:uri="http://schemas.microsoft.com/office/infopath/2007/PartnerControls"/>
    <ds:schemaRef ds:uri="4ffa91fb-a0ff-4ac5-b2db-65c790d184a4"/>
    <ds:schemaRef ds:uri="http://schemas.microsoft.com/sharepoint/v3"/>
    <ds:schemaRef ds:uri="http://schemas.microsoft.com/sharepoint/v3/fields"/>
    <ds:schemaRef ds:uri="c3fe2bc6-81ec-4aad-a296-b74ae9f31a66"/>
    <ds:schemaRef ds:uri="http://schemas.microsoft.com/sharepoint.v3"/>
  </ds:schemaRefs>
</ds:datastoreItem>
</file>

<file path=customXml/itemProps4.xml><?xml version="1.0" encoding="utf-8"?>
<ds:datastoreItem xmlns:ds="http://schemas.openxmlformats.org/officeDocument/2006/customXml" ds:itemID="{BB62849E-44AA-451D-8296-D98ADE5B7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1539</Characters>
  <Application>Microsoft Office Word</Application>
  <DocSecurity>8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Roemer, Kelli</dc:creator>
  <cp:keywords/>
  <dc:description/>
  <cp:lastModifiedBy>Wilkinson, Audrey</cp:lastModifiedBy>
  <cp:revision>33</cp:revision>
  <dcterms:created xsi:type="dcterms:W3CDTF">2023-03-13T16:40:00Z</dcterms:created>
  <dcterms:modified xsi:type="dcterms:W3CDTF">2023-03-24T17:14:00Z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