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4B3A0" w:rsidP="68422818" w:rsidRDefault="0054B3A0" w14:paraId="08145D86" w14:textId="725C7063">
      <w:pPr>
        <w:pStyle w:val="Title"/>
        <w:bidi w:val="0"/>
        <w:spacing w:before="0" w:beforeAutospacing="off" w:after="0" w:afterAutospacing="off" w:line="240" w:lineRule="auto"/>
        <w:ind w:left="0" w:right="0"/>
        <w:jc w:val="left"/>
        <w:rPr>
          <w:rStyle w:val="normaltextrun"/>
        </w:rPr>
      </w:pPr>
      <w:r w:rsidRPr="55ED6493" w:rsidR="217AE44C">
        <w:rPr>
          <w:rStyle w:val="normaltextrun"/>
        </w:rPr>
        <w:t>Equit</w:t>
      </w:r>
      <w:r w:rsidRPr="55ED6493" w:rsidR="6D89D763">
        <w:rPr>
          <w:rStyle w:val="normaltextrun"/>
        </w:rPr>
        <w:t>able Resilience Handout</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55ED6493" w:rsidR="005F6B23">
          <w:rPr>
            <w:rStyle w:val="Hyperlink"/>
            <w:color w:val="000000" w:themeColor="text1" w:themeTint="FF" w:themeShade="FF"/>
            <w:u w:val="none"/>
          </w:rPr>
          <w:t>Purpose</w:t>
        </w:r>
      </w:hyperlink>
    </w:p>
    <w:p w:rsidR="2B1AE67B" w:rsidP="55ED6493" w:rsidRDefault="2B1AE67B" w14:paraId="1EB20922" w14:textId="749D7766">
      <w:pPr>
        <w:pStyle w:val="Normal"/>
        <w:ind w:left="720" w:hanging="360"/>
      </w:pPr>
      <w:r w:rsidR="2B1AE67B">
        <w:rP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rsidR="7A0C0599" w:rsidP="55ED6493" w:rsidRDefault="7A0C0599" w14:paraId="0B455764" w14:textId="6C014274">
      <w:pPr>
        <w:pStyle w:val="Heading2"/>
        <w:bidi w:val="0"/>
        <w:spacing w:before="40" w:beforeAutospacing="off" w:after="0" w:afterAutospacing="off" w:line="259" w:lineRule="auto"/>
        <w:ind w:left="0" w:right="0"/>
        <w:jc w:val="left"/>
      </w:pPr>
      <w:r w:rsidR="7A0C0599">
        <w:rPr/>
        <w:t>Definitions and Importance</w:t>
      </w:r>
    </w:p>
    <w:p w:rsidR="2B1AE67B" w:rsidP="55ED6493" w:rsidRDefault="2B1AE67B" w14:paraId="2BDD1E22" w14:textId="5328101A">
      <w:pPr>
        <w:pStyle w:val="Heading2"/>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55ED6493" w:rsidR="2B1AE67B">
        <w:rPr>
          <w:rFonts w:ascii="Calibri" w:hAnsi="Calibri" w:eastAsia="Calibri" w:cs="Calibri" w:asciiTheme="minorAscii" w:hAnsiTheme="minorAscii" w:eastAsiaTheme="minorAscii" w:cstheme="minorAscii"/>
          <w:b w:val="0"/>
          <w:bCs w:val="0"/>
          <w:sz w:val="22"/>
          <w:szCs w:val="22"/>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rsidR="55ED6493" w:rsidP="55ED6493" w:rsidRDefault="55ED6493" w14:paraId="6ECEE5F7" w14:textId="28EB196A">
      <w:pPr>
        <w:pStyle w:val="Normal"/>
        <w:bidi w:val="0"/>
      </w:pPr>
    </w:p>
    <w:p w:rsidR="2B1AE67B" w:rsidP="55ED6493" w:rsidRDefault="2B1AE67B" w14:paraId="15CE383A" w14:textId="2644D489">
      <w:pPr>
        <w:pStyle w:val="Normal"/>
        <w:bidi w:val="0"/>
        <w:jc w:val="center"/>
      </w:pPr>
      <w:r w:rsidR="2B1AE67B">
        <w:drawing>
          <wp:inline wp14:editId="5ED30577" wp14:anchorId="39792A56">
            <wp:extent cx="5486400" cy="2790825"/>
            <wp:effectExtent l="0" t="0" r="0" b="0"/>
            <wp:docPr id="313290800" name="" descr="Four boxes labeled as hazard, social vulnerability, equity, and community resilience system. Within the boxes are definitions and importance of each concept." title="Key terms"/>
            <wp:cNvGraphicFramePr>
              <a:graphicFrameLocks noChangeAspect="1"/>
            </wp:cNvGraphicFramePr>
            <a:graphic>
              <a:graphicData uri="http://schemas.openxmlformats.org/drawingml/2006/picture">
                <pic:pic>
                  <pic:nvPicPr>
                    <pic:cNvPr id="0" name=""/>
                    <pic:cNvPicPr/>
                  </pic:nvPicPr>
                  <pic:blipFill>
                    <a:blip r:embed="R6451ee6bc3ab4217">
                      <a:extLst>
                        <a:ext xmlns:a="http://schemas.openxmlformats.org/drawingml/2006/main" uri="{28A0092B-C50C-407E-A947-70E740481C1C}">
                          <a14:useLocalDpi val="0"/>
                        </a:ext>
                      </a:extLst>
                    </a:blip>
                    <a:stretch>
                      <a:fillRect/>
                    </a:stretch>
                  </pic:blipFill>
                  <pic:spPr>
                    <a:xfrm>
                      <a:off x="0" y="0"/>
                      <a:ext cx="5486400" cy="2790825"/>
                    </a:xfrm>
                    <a:prstGeom prst="rect">
                      <a:avLst/>
                    </a:prstGeom>
                  </pic:spPr>
                </pic:pic>
              </a:graphicData>
            </a:graphic>
          </wp:inline>
        </w:drawing>
      </w:r>
    </w:p>
    <w:p w:rsidR="32C7562B" w:rsidP="55ED6493" w:rsidRDefault="32C7562B" w14:paraId="314EE0F9" w14:textId="7C8A9570">
      <w:pPr>
        <w:pStyle w:val="Caption"/>
        <w:bidi w:val="0"/>
        <w:spacing w:before="0" w:beforeAutospacing="off" w:after="200" w:afterAutospacing="off" w:line="240" w:lineRule="auto"/>
        <w:ind w:left="0" w:right="0"/>
        <w:jc w:val="center"/>
      </w:pPr>
      <w:r w:rsidRPr="55ED6493" w:rsidR="32C7562B">
        <w:rPr>
          <w:rFonts w:ascii="Calibri" w:hAnsi="Calibri" w:eastAsia="Calibri" w:cs="Calibri"/>
          <w:b w:val="0"/>
          <w:bCs w:val="0"/>
          <w:i w:val="1"/>
          <w:iCs w:val="1"/>
          <w:caps w:val="0"/>
          <w:smallCaps w:val="0"/>
          <w:noProof w:val="0"/>
          <w:color w:val="44546A" w:themeColor="text2" w:themeTint="FF" w:themeShade="FF"/>
          <w:sz w:val="28"/>
          <w:szCs w:val="28"/>
          <w:lang w:val="en-US"/>
        </w:rPr>
        <w:t>Key Terms: Definitions of key terms (hazard, social vulnerability, equity, and community resilience system) which are used in the ERB process.</w:t>
      </w:r>
    </w:p>
    <w:p w:rsidR="55ED6493" w:rsidP="55ED6493" w:rsidRDefault="55ED6493" w14:paraId="0778CFD1" w14:textId="3E84F5F4">
      <w:pPr>
        <w:pStyle w:val="Normal"/>
        <w:bidi w:val="0"/>
        <w:jc w:val="center"/>
      </w:pPr>
    </w:p>
    <w:p w:rsidR="55ED6493" w:rsidP="55ED6493" w:rsidRDefault="55ED6493" w14:paraId="4EFA1B62" w14:textId="2238D39B">
      <w:pPr>
        <w:pStyle w:val="Normal"/>
        <w:bidi w:val="0"/>
        <w:jc w:val="center"/>
      </w:pPr>
    </w:p>
    <w:p w:rsidR="32C7562B" w:rsidP="55ED6493" w:rsidRDefault="32C7562B" w14:paraId="37458DD2" w14:textId="2C69B677">
      <w:pPr>
        <w:bidi w:val="0"/>
        <w:spacing w:after="160" w:line="259" w:lineRule="auto"/>
        <w:ind w:firstLine="0"/>
        <w:jc w:val="center"/>
        <w:rPr>
          <w:rFonts w:ascii="Calibri" w:hAnsi="Calibri" w:eastAsia="Calibri" w:cs="Calibri"/>
          <w:noProof w:val="0"/>
          <w:sz w:val="22"/>
          <w:szCs w:val="22"/>
          <w:lang w:val="en-US"/>
        </w:rPr>
      </w:pPr>
      <w:r w:rsidRPr="55ED6493" w:rsidR="32C7562B">
        <w:rPr>
          <w:rFonts w:ascii="Calibri" w:hAnsi="Calibri" w:eastAsia="Calibri" w:cs="Calibri"/>
          <w:b w:val="1"/>
          <w:bCs w:val="1"/>
          <w:i w:val="0"/>
          <w:iCs w:val="0"/>
          <w:caps w:val="0"/>
          <w:smallCaps w:val="0"/>
          <w:noProof w:val="0"/>
          <w:color w:val="5A5A5A"/>
          <w:sz w:val="28"/>
          <w:szCs w:val="28"/>
          <w:lang w:val="en-US"/>
        </w:rPr>
        <w:t xml:space="preserve">ERB Activity Table: Chapter 3 and 4 ERB activities, outputs, and impacts for community resilience </w:t>
      </w:r>
      <w:r w:rsidRPr="55ED6493" w:rsidR="32C7562B">
        <w:rPr>
          <w:rFonts w:ascii="Calibri" w:hAnsi="Calibri" w:eastAsia="Calibri" w:cs="Calibri"/>
          <w:noProof w:val="0"/>
          <w:sz w:val="22"/>
          <w:szCs w:val="22"/>
          <w:lang w:val="en-US"/>
        </w:rPr>
        <w:t xml:space="preserve"> </w:t>
      </w:r>
    </w:p>
    <w:tbl>
      <w:tblPr>
        <w:tblStyle w:val="PlainTable1"/>
        <w:bidiVisual w:val="0"/>
        <w:tblW w:w="0" w:type="auto"/>
        <w:jc w:val="center"/>
        <w:tblLayout w:type="fixed"/>
        <w:tblLook w:val="0420" w:firstRow="1" w:lastRow="0" w:firstColumn="0" w:lastColumn="0" w:noHBand="0" w:noVBand="1"/>
      </w:tblPr>
      <w:tblGrid>
        <w:gridCol w:w="1721"/>
        <w:gridCol w:w="3427"/>
        <w:gridCol w:w="4213"/>
      </w:tblGrid>
      <w:tr w:rsidR="55ED6493" w:rsidTr="55ED6493" w14:paraId="4B70C23C">
        <w:trPr>
          <w:trHeight w:val="750"/>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37147FB2" w14:textId="2BC7029B">
            <w:pPr>
              <w:bidi w:val="0"/>
              <w:spacing w:line="259" w:lineRule="auto"/>
              <w:jc w:val="left"/>
              <w:rPr>
                <w:rFonts w:ascii="Calibri" w:hAnsi="Calibri" w:eastAsia="Calibri" w:cs="Calibri"/>
                <w:b w:val="0"/>
                <w:bCs w:val="0"/>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ERB Activity</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74A10568" w14:textId="1B90B09A">
            <w:pPr>
              <w:bidi w:val="0"/>
              <w:spacing w:line="259" w:lineRule="auto"/>
              <w:jc w:val="left"/>
              <w:rPr>
                <w:rFonts w:ascii="Calibri" w:hAnsi="Calibri" w:eastAsia="Calibri" w:cs="Calibri"/>
                <w:b w:val="0"/>
                <w:bCs w:val="0"/>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Outputs for Resilience Planning</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2CF54DF2" w14:textId="0D9CCC20">
            <w:pPr>
              <w:bidi w:val="0"/>
              <w:spacing w:line="259" w:lineRule="auto"/>
              <w:jc w:val="left"/>
              <w:rPr>
                <w:rFonts w:ascii="Calibri" w:hAnsi="Calibri" w:eastAsia="Calibri" w:cs="Calibri"/>
                <w:b w:val="0"/>
                <w:bCs w:val="0"/>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Community Building Around Resilience</w:t>
            </w:r>
          </w:p>
        </w:tc>
      </w:tr>
      <w:tr w:rsidR="55ED6493" w:rsidTr="55ED6493" w14:paraId="1BBA8F4D">
        <w:trPr>
          <w:trHeight w:val="1380"/>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76163285" w14:textId="05A7BC62">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Gather data on hazards, equity, and resilience systems</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36FA7341" w14:textId="38FA5F9D">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Baseline information from online datasets and recent planning documents; close data gaps</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266F93EE" w14:textId="551E8EF0">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Increase understanding of how systems connect and relate; share information</w:t>
            </w:r>
          </w:p>
        </w:tc>
      </w:tr>
      <w:tr w:rsidR="55ED6493" w:rsidTr="55ED6493" w14:paraId="7FB7395E">
        <w:trPr>
          <w:trHeight w:val="1380"/>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3CFD6E98" w14:textId="46C44215">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 xml:space="preserve">Storytelling on </w:t>
            </w:r>
          </w:p>
          <w:p w:rsidR="55ED6493" w:rsidP="55ED6493" w:rsidRDefault="55ED6493" w14:paraId="7A8D5D67" w14:textId="61B4B728">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hazards and assets</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0C36069A" w14:textId="17419B86">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Integrate local knowledge and diverse experiences into baseline information</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5E5AB023" w14:textId="424A6EEF">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Empower residents, strengthen networks, build empathy and trust</w:t>
            </w:r>
          </w:p>
        </w:tc>
      </w:tr>
      <w:tr w:rsidR="55ED6493" w:rsidTr="55ED6493" w14:paraId="11FF0BEC">
        <w:trPr>
          <w:trHeight w:val="1065"/>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58504E85" w14:textId="073590FD">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Futures scenario</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751531F2" w14:textId="292ADF75">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Focused discussions about future risks people might not have thought about</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2B67D6BB" w14:textId="4448C7D1">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Integrate risk and equity assessments into planning</w:t>
            </w:r>
          </w:p>
        </w:tc>
      </w:tr>
      <w:tr w:rsidR="55ED6493" w:rsidTr="55ED6493" w14:paraId="60D0921D">
        <w:trPr>
          <w:trHeight w:val="1695"/>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34D37E9F" w14:textId="0FF62FF6">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Participatory mapping</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0663F102" w14:textId="175872AD">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Spatial awareness of hazard impacts and community assets, integrate local knowledge and diverse experiences into baseline information</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4467471E" w14:textId="4A5C74CD">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Identify priorities for action</w:t>
            </w:r>
          </w:p>
        </w:tc>
      </w:tr>
      <w:tr w:rsidR="55ED6493" w:rsidTr="55ED6493" w14:paraId="7E0C351E">
        <w:trPr>
          <w:trHeight w:val="1695"/>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6DCB54DE" w14:textId="3CE75B8C">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Indicator card sorting</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43DF6E6B" w14:textId="446FCDFC">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Resilience assessment of built, natural, and social systems, including existing disparities, integrate local knowledge into baseline information</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1B916CB3" w14:textId="2D6AFB86">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Empower residents, identify priorities for action</w:t>
            </w:r>
          </w:p>
        </w:tc>
      </w:tr>
      <w:tr w:rsidR="55ED6493" w:rsidTr="55ED6493" w14:paraId="55DC3196">
        <w:trPr>
          <w:trHeight w:val="1380"/>
        </w:trPr>
        <w:tc>
          <w:tcPr>
            <w:cnfStyle w:val="000000000000" w:firstRow="0" w:lastRow="0" w:firstColumn="0" w:lastColumn="0" w:oddVBand="0" w:evenVBand="0" w:oddHBand="0" w:evenHBand="0" w:firstRowFirstColumn="0" w:firstRowLastColumn="0" w:lastRowFirstColumn="0" w:lastRowLastColumn="0"/>
            <w:tcW w:w="1721" w:type="dxa"/>
            <w:tcMar/>
          </w:tcPr>
          <w:p w:rsidR="55ED6493" w:rsidP="55ED6493" w:rsidRDefault="55ED6493" w14:paraId="4FFF3FD7" w14:textId="0446127A">
            <w:pPr>
              <w:bidi w:val="0"/>
              <w:spacing w:line="259" w:lineRule="auto"/>
              <w:jc w:val="left"/>
              <w:rPr>
                <w:rFonts w:ascii="Calibri" w:hAnsi="Calibri" w:eastAsia="Calibri" w:cs="Calibri"/>
                <w:b w:val="1"/>
                <w:bCs w:val="1"/>
                <w:i w:val="0"/>
                <w:iCs w:val="0"/>
                <w:caps w:val="0"/>
                <w:smallCaps w:val="0"/>
                <w:color w:val="auto"/>
                <w:sz w:val="24"/>
                <w:szCs w:val="24"/>
              </w:rPr>
            </w:pPr>
            <w:r w:rsidRPr="55ED6493" w:rsidR="55ED6493">
              <w:rPr>
                <w:rFonts w:ascii="Calibri" w:hAnsi="Calibri" w:eastAsia="Calibri" w:cs="Calibri"/>
                <w:b w:val="1"/>
                <w:bCs w:val="1"/>
                <w:i w:val="0"/>
                <w:iCs w:val="0"/>
                <w:caps w:val="0"/>
                <w:smallCaps w:val="0"/>
                <w:strike w:val="0"/>
                <w:dstrike w:val="0"/>
                <w:color w:val="auto"/>
                <w:sz w:val="24"/>
                <w:szCs w:val="24"/>
                <w:u w:val="none"/>
                <w:lang w:val="en-US"/>
              </w:rPr>
              <w:t>Equity discussion</w:t>
            </w:r>
          </w:p>
        </w:tc>
        <w:tc>
          <w:tcPr>
            <w:cnfStyle w:val="000000000000" w:firstRow="0" w:lastRow="0" w:firstColumn="0" w:lastColumn="0" w:oddVBand="0" w:evenVBand="0" w:oddHBand="0" w:evenHBand="0" w:firstRowFirstColumn="0" w:firstRowLastColumn="0" w:lastRowFirstColumn="0" w:lastRowLastColumn="0"/>
            <w:tcW w:w="3427" w:type="dxa"/>
            <w:tcMar/>
          </w:tcPr>
          <w:p w:rsidR="55ED6493" w:rsidP="55ED6493" w:rsidRDefault="55ED6493" w14:paraId="0F42B103" w14:textId="5B63B639">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Awareness of root causes for who might experience hazards differently, how and why, and equity considerations to address when designing resilience actions</w:t>
            </w:r>
          </w:p>
        </w:tc>
        <w:tc>
          <w:tcPr>
            <w:cnfStyle w:val="000000000000" w:firstRow="0" w:lastRow="0" w:firstColumn="0" w:lastColumn="0" w:oddVBand="0" w:evenVBand="0" w:oddHBand="0" w:evenHBand="0" w:firstRowFirstColumn="0" w:firstRowLastColumn="0" w:lastRowFirstColumn="0" w:lastRowLastColumn="0"/>
            <w:tcW w:w="4213" w:type="dxa"/>
            <w:tcMar/>
          </w:tcPr>
          <w:p w:rsidR="55ED6493" w:rsidP="55ED6493" w:rsidRDefault="55ED6493" w14:paraId="6DDA56E5" w14:textId="6813D453">
            <w:pPr>
              <w:bidi w:val="0"/>
              <w:spacing w:line="259" w:lineRule="auto"/>
              <w:jc w:val="left"/>
              <w:rPr>
                <w:rFonts w:ascii="Calibri" w:hAnsi="Calibri" w:eastAsia="Calibri" w:cs="Calibri"/>
                <w:b w:val="0"/>
                <w:bCs w:val="0"/>
                <w:i w:val="0"/>
                <w:iCs w:val="0"/>
                <w:caps w:val="0"/>
                <w:smallCaps w:val="0"/>
                <w:color w:val="000000" w:themeColor="text1" w:themeTint="FF" w:themeShade="FF"/>
                <w:sz w:val="24"/>
                <w:szCs w:val="24"/>
              </w:rPr>
            </w:pPr>
            <w:r w:rsidRPr="55ED6493" w:rsidR="55ED6493">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Shared understanding of history and trauma, trust building, strengthen community connections, identify priorities for action</w:t>
            </w:r>
          </w:p>
        </w:tc>
      </w:tr>
    </w:tbl>
    <w:p w:rsidR="55ED6493" w:rsidP="55ED6493" w:rsidRDefault="55ED6493" w14:paraId="70049708" w14:textId="4C4C2C70">
      <w:pPr>
        <w:pStyle w:val="Heading2"/>
        <w:bidi w:val="0"/>
        <w:spacing w:before="40" w:beforeAutospacing="off" w:after="0" w:afterAutospacing="off" w:line="259" w:lineRule="auto"/>
        <w:ind w:left="0" w:right="0"/>
        <w:jc w:val="left"/>
      </w:pPr>
    </w:p>
    <w:p w:rsidR="55ED6493" w:rsidP="55ED6493" w:rsidRDefault="55ED6493" w14:paraId="467624D3" w14:textId="00A042A0">
      <w:pPr>
        <w:pStyle w:val="Normal"/>
        <w:bidi w:val="0"/>
      </w:pPr>
    </w:p>
    <w:p w:rsidR="309552B0" w:rsidP="55ED6493" w:rsidRDefault="309552B0" w14:paraId="0500353E" w14:textId="3144F3F9">
      <w:pPr>
        <w:pStyle w:val="Caption"/>
        <w:bidi w:val="0"/>
        <w:spacing w:before="0" w:beforeAutospacing="off" w:after="200" w:afterAutospacing="off" w:line="240" w:lineRule="auto"/>
        <w:ind w:left="0" w:right="0"/>
        <w:jc w:val="center"/>
      </w:pPr>
      <w:r w:rsidR="309552B0">
        <w:drawing>
          <wp:inline wp14:editId="0D5FEB3E" wp14:anchorId="0D2592A6">
            <wp:extent cx="3028950" cy="2333625"/>
            <wp:effectExtent l="0" t="0" r="0" b="0"/>
            <wp:docPr id="1626223258" name="" descr="A circle with the words &quot;equitable resilience systems&quot; in the middle. The circle is divided into 3 parts labeled &quot;social system&quot;, &quot;built system&quot;, and &quot;natural system&quot;." title="Equitable resilience systems"/>
            <wp:cNvGraphicFramePr>
              <a:graphicFrameLocks noChangeAspect="1"/>
            </wp:cNvGraphicFramePr>
            <a:graphic>
              <a:graphicData uri="http://schemas.openxmlformats.org/drawingml/2006/picture">
                <pic:pic>
                  <pic:nvPicPr>
                    <pic:cNvPr id="0" name=""/>
                    <pic:cNvPicPr/>
                  </pic:nvPicPr>
                  <pic:blipFill>
                    <a:blip r:embed="R3603bbf510ab4747">
                      <a:extLst>
                        <a:ext xmlns:a="http://schemas.openxmlformats.org/drawingml/2006/main" uri="{28A0092B-C50C-407E-A947-70E740481C1C}">
                          <a14:useLocalDpi val="0"/>
                        </a:ext>
                      </a:extLst>
                    </a:blip>
                    <a:stretch>
                      <a:fillRect/>
                    </a:stretch>
                  </pic:blipFill>
                  <pic:spPr>
                    <a:xfrm>
                      <a:off x="0" y="0"/>
                      <a:ext cx="3028950" cy="2333625"/>
                    </a:xfrm>
                    <a:prstGeom prst="rect">
                      <a:avLst/>
                    </a:prstGeom>
                  </pic:spPr>
                </pic:pic>
              </a:graphicData>
            </a:graphic>
          </wp:inline>
        </w:drawing>
      </w:r>
      <w:r>
        <w:br/>
      </w:r>
      <w:r w:rsidRPr="55ED6493" w:rsidR="309552B0">
        <w:rPr>
          <w:rFonts w:ascii="Calibri" w:hAnsi="Calibri" w:eastAsia="Calibri" w:cs="Calibri"/>
          <w:b w:val="0"/>
          <w:bCs w:val="0"/>
          <w:i w:val="1"/>
          <w:iCs w:val="1"/>
          <w:caps w:val="0"/>
          <w:smallCaps w:val="0"/>
          <w:noProof w:val="0"/>
          <w:color w:val="44546A" w:themeColor="text2" w:themeTint="FF" w:themeShade="FF"/>
          <w:sz w:val="28"/>
          <w:szCs w:val="28"/>
          <w:lang w:val="en-US"/>
        </w:rPr>
        <w:t>Equitable Resilience Systems: The three resilience systems (social, built, and natural) that the ERB focuses on.</w:t>
      </w:r>
    </w:p>
    <w:p w:rsidR="55ED6493" w:rsidP="55ED6493" w:rsidRDefault="55ED6493" w14:paraId="066945BC" w14:textId="7FC12B47">
      <w:pPr>
        <w:pStyle w:val="Heading2"/>
        <w:bidi w:val="0"/>
        <w:jc w:val="center"/>
      </w:pPr>
    </w:p>
    <w:p w:rsidR="2B1AE67B" w:rsidP="55ED6493" w:rsidRDefault="2B1AE67B" w14:paraId="0B957636" w14:textId="4D160EF4">
      <w:pPr>
        <w:pStyle w:val="Heading2"/>
        <w:bidi w:val="0"/>
        <w:spacing w:before="40" w:beforeAutospacing="off" w:after="0" w:afterAutospacing="off" w:line="259" w:lineRule="auto"/>
        <w:ind w:left="0" w:right="0"/>
        <w:jc w:val="left"/>
      </w:pPr>
      <w:r>
        <w:br/>
      </w:r>
      <w:r w:rsidR="0687C147">
        <w:rPr/>
        <w:t>How do communities benefit from the tool?</w:t>
      </w:r>
    </w:p>
    <w:p w:rsidR="0687C147" w:rsidP="55ED6493" w:rsidRDefault="0687C147" w14:paraId="4E192872" w14:textId="68F8BA25">
      <w:pPr>
        <w:pStyle w:val="ListParagraph"/>
        <w:numPr>
          <w:ilvl w:val="0"/>
          <w:numId w:val="45"/>
        </w:numPr>
        <w:bidi w:val="0"/>
        <w:rPr>
          <w:sz w:val="22"/>
          <w:szCs w:val="22"/>
        </w:rPr>
      </w:pPr>
      <w:r w:rsidRPr="55ED6493" w:rsidR="0687C147">
        <w:rPr>
          <w:sz w:val="22"/>
          <w:szCs w:val="22"/>
          <w:u w:val="single"/>
        </w:rPr>
        <w:t>Relationships:</w:t>
      </w:r>
      <w:r w:rsidRPr="55ED6493" w:rsidR="0687C147">
        <w:rPr>
          <w:sz w:val="22"/>
          <w:szCs w:val="22"/>
        </w:rPr>
        <w:t xml:space="preserve"> A stronger network of community organizations and agencies to share information and resources </w:t>
      </w:r>
    </w:p>
    <w:p w:rsidR="0687C147" w:rsidP="55ED6493" w:rsidRDefault="0687C147" w14:paraId="5755E31C" w14:textId="4937B54B">
      <w:pPr>
        <w:pStyle w:val="ListParagraph"/>
        <w:numPr>
          <w:ilvl w:val="0"/>
          <w:numId w:val="45"/>
        </w:numPr>
        <w:bidi w:val="0"/>
        <w:rPr>
          <w:sz w:val="22"/>
          <w:szCs w:val="22"/>
        </w:rPr>
      </w:pPr>
      <w:r w:rsidRPr="55ED6493" w:rsidR="0687C147">
        <w:rPr>
          <w:sz w:val="22"/>
          <w:szCs w:val="22"/>
          <w:u w:val="single"/>
        </w:rPr>
        <w:t>Recognition:</w:t>
      </w:r>
      <w:r w:rsidRPr="55ED6493" w:rsidR="0687C147">
        <w:rPr>
          <w:sz w:val="22"/>
          <w:szCs w:val="22"/>
        </w:rPr>
        <w:t xml:space="preserve"> Facilitation guides for holding workshops in trauma-informed ways, activity guides for soliciting community perspectives, and local knowledge is valued and utilized alongside scientific data </w:t>
      </w:r>
    </w:p>
    <w:p w:rsidR="0687C147" w:rsidP="55ED6493" w:rsidRDefault="0687C147" w14:paraId="6D8DFDB6" w14:textId="43B3D69C">
      <w:pPr>
        <w:pStyle w:val="ListParagraph"/>
        <w:numPr>
          <w:ilvl w:val="0"/>
          <w:numId w:val="45"/>
        </w:numPr>
        <w:bidi w:val="0"/>
        <w:rPr>
          <w:sz w:val="22"/>
          <w:szCs w:val="22"/>
        </w:rPr>
      </w:pPr>
      <w:r w:rsidRPr="55ED6493" w:rsidR="0687C147">
        <w:rPr>
          <w:sz w:val="22"/>
          <w:szCs w:val="22"/>
          <w:u w:val="single"/>
        </w:rPr>
        <w:t>Information:</w:t>
      </w:r>
      <w:r w:rsidRPr="55ED6493" w:rsidR="0687C147">
        <w:rPr>
          <w:sz w:val="22"/>
          <w:szCs w:val="22"/>
        </w:rPr>
        <w:t xml:space="preserve"> Data and maps on hazards, equity, and resilient community systems, and locally meaningful and measurable indicators to measure future change in built, natural, and social environment systems </w:t>
      </w:r>
    </w:p>
    <w:p w:rsidR="0687C147" w:rsidP="55ED6493" w:rsidRDefault="0687C147" w14:paraId="4D2FF650" w14:textId="52AEEDD0">
      <w:pPr>
        <w:pStyle w:val="ListParagraph"/>
        <w:numPr>
          <w:ilvl w:val="0"/>
          <w:numId w:val="45"/>
        </w:numPr>
        <w:bidi w:val="0"/>
        <w:rPr>
          <w:sz w:val="22"/>
          <w:szCs w:val="22"/>
        </w:rPr>
      </w:pPr>
      <w:r w:rsidRPr="55ED6493" w:rsidR="0687C147">
        <w:rPr>
          <w:sz w:val="22"/>
          <w:szCs w:val="22"/>
          <w:u w:val="single"/>
        </w:rPr>
        <w:t>Action</w:t>
      </w:r>
      <w:r w:rsidRPr="55ED6493" w:rsidR="44F9E571">
        <w:rPr>
          <w:sz w:val="22"/>
          <w:szCs w:val="22"/>
          <w:u w:val="single"/>
        </w:rPr>
        <w:t>:</w:t>
      </w:r>
      <w:r w:rsidRPr="55ED6493" w:rsidR="44F9E571">
        <w:rPr>
          <w:sz w:val="22"/>
          <w:szCs w:val="22"/>
        </w:rPr>
        <w:t xml:space="preserve"> </w:t>
      </w:r>
      <w:r w:rsidRPr="55ED6493" w:rsidR="0687C147">
        <w:rPr>
          <w:sz w:val="22"/>
          <w:szCs w:val="22"/>
        </w:rPr>
        <w:t>A collaboratively prioritized set of actions and next steps for strengthening community resilience in an equitable way</w:t>
      </w:r>
    </w:p>
    <w:p w:rsidR="55ED6493" w:rsidP="55ED6493" w:rsidRDefault="55ED6493" w14:paraId="3E73DC24" w14:textId="2CC75EF2">
      <w:pPr>
        <w:pStyle w:val="Normal"/>
        <w:bidi w:val="0"/>
        <w:jc w:val="cente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5cc56b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3b3d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da6f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1a8bc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4f106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70c52f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1E10633"/>
    <w:rsid w:val="0374E90E"/>
    <w:rsid w:val="037CD694"/>
    <w:rsid w:val="05A8A432"/>
    <w:rsid w:val="05EED512"/>
    <w:rsid w:val="05EED512"/>
    <w:rsid w:val="067710B1"/>
    <w:rsid w:val="0687C147"/>
    <w:rsid w:val="06B47756"/>
    <w:rsid w:val="095CD6C4"/>
    <w:rsid w:val="0A0C6C16"/>
    <w:rsid w:val="0BA2333B"/>
    <w:rsid w:val="0C5E358B"/>
    <w:rsid w:val="0D3E1690"/>
    <w:rsid w:val="0D51D989"/>
    <w:rsid w:val="0D51D989"/>
    <w:rsid w:val="0D98AB07"/>
    <w:rsid w:val="0E842113"/>
    <w:rsid w:val="0F565BD2"/>
    <w:rsid w:val="10919CB1"/>
    <w:rsid w:val="10F5AD40"/>
    <w:rsid w:val="11D1D123"/>
    <w:rsid w:val="13AFE4C3"/>
    <w:rsid w:val="13CC0470"/>
    <w:rsid w:val="1448AB0B"/>
    <w:rsid w:val="1448AB0B"/>
    <w:rsid w:val="17F3B626"/>
    <w:rsid w:val="1816E61C"/>
    <w:rsid w:val="1DCE59C1"/>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FB2A"/>
    <w:rsid w:val="58CAA5AA"/>
    <w:rsid w:val="597200EA"/>
    <w:rsid w:val="5DF530A2"/>
    <w:rsid w:val="5E85092E"/>
    <w:rsid w:val="5FCA5BE7"/>
    <w:rsid w:val="604E9056"/>
    <w:rsid w:val="60BCD09A"/>
    <w:rsid w:val="63FEF11D"/>
    <w:rsid w:val="64D29264"/>
    <w:rsid w:val="6749658C"/>
    <w:rsid w:val="68422818"/>
    <w:rsid w:val="6A01AB07"/>
    <w:rsid w:val="6ACF86BE"/>
    <w:rsid w:val="6B57346B"/>
    <w:rsid w:val="6C91C8DC"/>
    <w:rsid w:val="6D89D763"/>
    <w:rsid w:val="6F547771"/>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openxmlformats.org/officeDocument/2006/relationships/image" Target="/media/image2.png" Id="R6451ee6bc3ab4217" /><Relationship Type="http://schemas.openxmlformats.org/officeDocument/2006/relationships/image" Target="/media/image3.png" Id="R3603bbf510ab4747"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Varner, Paige (she/her/hers)</cp:lastModifiedBy>
  <cp:revision>41</cp:revision>
  <dcterms:created xsi:type="dcterms:W3CDTF">2022-09-12T19:19:00Z</dcterms:created>
  <dcterms:modified xsi:type="dcterms:W3CDTF">2023-04-13T15:12:17Z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