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bookmarkStart w:id="0" w:name="_GoBack"/>
      <w:bookmarkEnd w:id="0"/>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90</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Emissions from preservative-treated wood</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E9602E">
        <w:rPr>
          <w:rFonts w:ascii="Cambria" w:eastAsia="Times New Roman" w:hAnsi="Cambria" w:cs="Times New Roman"/>
          <w:b/>
          <w:bCs/>
          <w:i/>
          <w:color w:val="000000"/>
          <w:lang w:val="en"/>
        </w:rPr>
        <w:t>November</w:t>
      </w:r>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799" w:rsidRDefault="00E9602E">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799" w:rsidRDefault="00E960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DC4799"/>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emissions from preservative-treated wood</w:t>
            </w:r>
            <w:r>
              <w:rPr>
                <w:rFonts w:ascii="Arial"/>
                <w:sz w:val="16"/>
              </w:rPr>
              <w:br/>
              <w:t>- leaching behaviour, other</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From the picklist select the relevant endpoint addressed by this study summary. In some cases there is only one endpoint title, </w:t>
            </w:r>
            <w:r>
              <w:rPr>
                <w:rFonts w:ascii="Arial"/>
                <w:sz w:val="16"/>
              </w:rPr>
              <w:t>which may be entered automatically depending on the software application.</w:t>
            </w:r>
            <w:r>
              <w:rPr>
                <w:rFonts w:ascii="Arial"/>
                <w:sz w:val="16"/>
              </w:rPr>
              <w:br/>
            </w:r>
            <w:r>
              <w:rPr>
                <w:rFonts w:ascii="Arial"/>
                <w:sz w:val="16"/>
              </w:rPr>
              <w:br/>
              <w:t xml:space="preserve">If multiple study types are covered by the same data entry form, the specific study type should be selected. If none matches, select the more generic endpoint description '&lt;Generic </w:t>
            </w:r>
            <w:r>
              <w:rPr>
                <w:rFonts w:ascii="Arial"/>
                <w:sz w:val="16"/>
              </w:rPr>
              <w:t>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 xml:space="preserve">Please note: For (Q)SAR studies the generic </w:t>
            </w:r>
            <w:r>
              <w:rPr>
                <w:rFonts w:ascii="Arial"/>
                <w:sz w:val="16"/>
              </w:rPr>
              <w:t>endpoint title should be selected, normally with no need to fill in the adjacent text field, as '(Q)SAR' needs to be indicated in field 'Type of information' and the model should be described in field 'Justification of non-standard information' or 'Attache</w:t>
            </w:r>
            <w:r>
              <w:rPr>
                <w:rFonts w:ascii="Arial"/>
                <w:sz w:val="16"/>
              </w:rPr>
              <w:t>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w:t>
            </w:r>
            <w:r>
              <w:rPr>
                <w:rFonts w:ascii="Arial"/>
                <w:sz w:val="16"/>
              </w:rPr>
              <w:t xml:space="preserve">broad sense as an </w:t>
            </w:r>
            <w:r>
              <w:rPr>
                <w:rFonts w:ascii="Arial"/>
                <w:sz w:val="16"/>
              </w:rPr>
              <w:lastRenderedPageBreak/>
              <w:t xml:space="preserve">observable or measurable inherent property of a chemical substance which may be specified by the relevant regulatory framework as 'information requirement' (e.g. Boiling point, Sub-chronic toxicity: oral, Fish early-life stage toxicity). </w:t>
            </w:r>
            <w:r>
              <w:rPr>
                <w:rFonts w:ascii="Arial"/>
                <w:sz w:val="16"/>
              </w:rPr>
              <w:t>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xml:space="preserve">- </w:t>
            </w:r>
            <w:r>
              <w:rPr>
                <w:rFonts w:ascii="Arial"/>
                <w:sz w:val="16"/>
              </w:rPr>
              <w:t>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w:t>
            </w:r>
            <w:r>
              <w:rPr>
                <w:rFonts w:ascii="Arial"/>
                <w:sz w:val="16"/>
              </w:rPr>
              <w:t>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Select the appropriate type of information, e.g. ' experimental study', ' experimental study planned' or, if alternatives to testing apply, '(Q)SAR', 'read-across ...'. In the case of ca</w:t>
            </w:r>
            <w:r>
              <w:rPr>
                <w:rFonts w:ascii="Arial"/>
                <w:sz w:val="16"/>
              </w:rPr>
              <w:t>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w:t>
            </w:r>
            <w:r>
              <w:rPr>
                <w:rFonts w:ascii="Arial"/>
                <w:sz w:val="16"/>
              </w:rPr>
              <w:t>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w:t>
            </w:r>
            <w:r>
              <w:rPr>
                <w:rFonts w:ascii="Arial"/>
                <w:sz w:val="16"/>
              </w:rPr>
              <w:t>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w:t>
            </w:r>
            <w:r>
              <w:rPr>
                <w:rFonts w:ascii="Arial"/>
                <w:sz w:val="16"/>
              </w:rPr>
              <w:t xml:space="preserve">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w:t>
            </w:r>
            <w:r>
              <w:rPr>
                <w:rFonts w:ascii="Arial"/>
                <w:sz w:val="16"/>
              </w:rPr>
              <w:t xml:space="preserve">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w:t>
            </w:r>
            <w:r>
              <w:rPr>
                <w:rFonts w:ascii="Arial"/>
                <w:sz w:val="16"/>
              </w:rPr>
              <w:t>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w:t>
            </w:r>
            <w:r>
              <w:rPr>
                <w:rFonts w:ascii="Arial"/>
                <w:sz w:val="16"/>
              </w:rPr>
              <w:t xml:space="preserve">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key study</w:t>
            </w:r>
            <w:r>
              <w:rPr>
                <w:rFonts w:ascii="Arial"/>
                <w:sz w:val="16"/>
              </w:rPr>
              <w:br/>
              <w:t>- supporting study</w:t>
            </w:r>
            <w:r>
              <w:rPr>
                <w:rFonts w:ascii="Arial"/>
                <w:sz w:val="16"/>
              </w:rPr>
              <w:br/>
              <w:t>- weight of</w:t>
            </w:r>
            <w:r>
              <w:rPr>
                <w:rFonts w:ascii="Arial"/>
                <w:sz w:val="16"/>
              </w:rPr>
              <w:t xml:space="preserve">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w:t>
            </w:r>
            <w:r>
              <w:rPr>
                <w:rFonts w:ascii="Arial"/>
                <w:sz w:val="16"/>
              </w:rPr>
              <w:t>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w:t>
            </w:r>
            <w:r>
              <w:rPr>
                <w:rFonts w:ascii="Arial"/>
                <w:sz w:val="16"/>
              </w:rPr>
              <w:t xml:space="preserve">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w:t>
            </w:r>
            <w:r>
              <w:rPr>
                <w:rFonts w:ascii="Arial"/>
                <w:sz w:val="16"/>
              </w:rPr>
              <w:t>ontributes to a weight of evidence justification for the non-submission of a particular (adequate) study. The weight of evidence justification is normally endpoint-related, i.e.  based on all available records included in the weight of evidence evaluation.</w:t>
            </w:r>
            <w:r>
              <w:rPr>
                <w:rFonts w:ascii="Arial"/>
                <w:sz w:val="16"/>
              </w:rPr>
              <w:t xml:space="preserve">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w:t>
            </w:r>
            <w:r>
              <w:rPr>
                <w:rFonts w:ascii="Arial"/>
                <w:sz w:val="16"/>
              </w:rPr>
              <w:t>s not used as key study because of flaws in the methodology or documentation. This phrase should be selected for justifying why a potentially critical result has not been used for the hazard assessment. The lines of argumentation should be provided in fiel</w:t>
            </w:r>
            <w:r>
              <w:rPr>
                <w:rFonts w:ascii="Arial"/>
                <w:sz w:val="16"/>
              </w:rPr>
              <w:t>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w:t>
            </w:r>
            <w:r>
              <w:rPr>
                <w:rFonts w:ascii="Arial"/>
                <w:sz w:val="16"/>
              </w:rPr>
              <w:t>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799" w:rsidRDefault="00E9602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Set this flag if relevant for the respective regulatory programme or if otherwise use</w:t>
            </w:r>
            <w:r>
              <w:rPr>
                <w:rFonts w:ascii="Arial"/>
                <w:sz w:val="16"/>
              </w:rPr>
              <w:t xml:space="preserv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w:t>
            </w:r>
            <w:r>
              <w:rPr>
                <w:rFonts w:ascii="Arial"/>
                <w:sz w:val="16"/>
              </w:rPr>
              <w:t>of an experimental study or of any other relevant information. It is a priori no synonym with the term 'Key study', although a key study should usually be submitted in the form of Robust Study Summary. However, a Robust Summary may also be useful for other</w:t>
            </w:r>
            <w:r>
              <w:rPr>
                <w:rFonts w:ascii="Arial"/>
                <w:sz w:val="16"/>
              </w:rPr>
              <w:t xml:space="preserve">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highlighting the</w:t>
            </w:r>
            <w:r>
              <w:rPr>
                <w:rFonts w:ascii="Arial"/>
                <w:sz w:val="16"/>
              </w:rPr>
              <w:t xml:space="preserv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Set this flag if relevant for </w:t>
            </w:r>
            <w:r>
              <w:rPr>
                <w:rFonts w:ascii="Arial"/>
                <w:sz w:val="16"/>
              </w:rPr>
              <w:t>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w:t>
            </w:r>
            <w:r>
              <w:rPr>
                <w:rFonts w:ascii="Arial"/>
                <w:sz w:val="16"/>
              </w:rPr>
              <w:t xml:space="preserve">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C4799" w:rsidRDefault="00E9602E">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C4799" w:rsidRDefault="00E9602E">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DC4799" w:rsidRDefault="00E9602E">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E9602E">
            <w:r>
              <w:rPr>
                <w:rFonts w:ascii="Arial"/>
                <w:b/>
                <w:sz w:val="16"/>
              </w:rPr>
              <w:t>Cross-reference:</w:t>
            </w:r>
            <w:r>
              <w:rPr>
                <w:rFonts w:ascii="Arial"/>
                <w:b/>
                <w:sz w:val="16"/>
              </w:rPr>
              <w:br/>
            </w:r>
            <w:r>
              <w:rPr>
                <w:rFonts w:ascii="Arial"/>
                <w:sz w:val="16"/>
              </w:rPr>
              <w:t>AllSummariesAndRecords</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799" w:rsidRDefault="00E9602E">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799" w:rsidRDefault="00E960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799" w:rsidRDefault="00E9602E">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799" w:rsidRDefault="00E960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Picklist values:</w:t>
            </w:r>
            <w:r>
              <w:rPr>
                <w:rFonts w:ascii="Arial"/>
                <w:sz w:val="16"/>
              </w:rPr>
              <w:br/>
              <w:t xml:space="preserve">- OECD Guideline 313 (Estimation of Emissions from Preservative - </w:t>
            </w:r>
            <w:r>
              <w:rPr>
                <w:rFonts w:ascii="Arial"/>
                <w:sz w:val="16"/>
              </w:rPr>
              <w:t xml:space="preserve">Treated Wood to the Environment:  Laboratory Method for wooden </w:t>
            </w:r>
            <w:r>
              <w:rPr>
                <w:rFonts w:ascii="Arial"/>
                <w:sz w:val="16"/>
              </w:rPr>
              <w:lastRenderedPageBreak/>
              <w:t>commodities that are not Covered and are in contact with Fresh Water or Seawater)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lastRenderedPageBreak/>
              <w:t>Select the applicable test guideline, e.g. 'OECD Guideline xxx'. If the test guideline used is not lis</w:t>
            </w:r>
            <w:r>
              <w:rPr>
                <w:rFonts w:ascii="Arial"/>
                <w:sz w:val="16"/>
              </w:rPr>
              <w:t xml:space="preserve">ted,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w:t>
            </w:r>
            <w:r>
              <w:rPr>
                <w:rFonts w:ascii="Arial"/>
                <w:sz w:val="16"/>
              </w:rPr>
              <w:t>,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w:t>
            </w:r>
            <w:r>
              <w:rPr>
                <w:rFonts w:ascii="Arial"/>
                <w:sz w:val="16"/>
              </w:rPr>
              <w:t>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E9602E">
            <w:r>
              <w:rPr>
                <w:rFonts w:ascii="Arial"/>
                <w:b/>
                <w:sz w:val="16"/>
              </w:rPr>
              <w:lastRenderedPageBreak/>
              <w:t>Guidance for field condition:</w:t>
            </w:r>
            <w:r>
              <w:rPr>
                <w:rFonts w:ascii="Arial"/>
                <w:b/>
                <w:sz w:val="16"/>
              </w:rPr>
              <w:br/>
            </w:r>
            <w:r>
              <w:rPr>
                <w:rFonts w:ascii="Arial"/>
                <w:sz w:val="16"/>
              </w:rPr>
              <w:t xml:space="preserve">Condition: Field active only if 'Qualifier' is </w:t>
            </w:r>
            <w:r>
              <w:rPr>
                <w:rFonts w:ascii="Arial"/>
                <w:sz w:val="16"/>
              </w:rPr>
              <w:t xml:space="preserve">not 'no </w:t>
            </w:r>
            <w:r>
              <w:rPr>
                <w:rFonts w:ascii="Arial"/>
                <w:sz w:val="16"/>
              </w:rPr>
              <w:lastRenderedPageBreak/>
              <w:t>guideline ...'</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w:t>
            </w:r>
            <w:r>
              <w:rPr>
                <w:rFonts w:ascii="Arial"/>
                <w:sz w:val="16"/>
              </w:rPr>
              <w:t>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w:t>
            </w:r>
            <w:r>
              <w:rPr>
                <w:rFonts w:ascii="Arial"/>
                <w:sz w:val="16"/>
              </w:rPr>
              <w:t>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w:t>
            </w:r>
            <w:r>
              <w:rPr>
                <w:rFonts w:ascii="Arial"/>
                <w:sz w:val="16"/>
              </w:rPr>
              <w:t>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E9602E">
            <w:r>
              <w:rPr>
                <w:rFonts w:ascii="Arial"/>
                <w:b/>
                <w:sz w:val="16"/>
              </w:rPr>
              <w:t>Guidance for field condition:</w:t>
            </w:r>
            <w:r>
              <w:rPr>
                <w:rFonts w:ascii="Arial"/>
                <w:b/>
                <w:sz w:val="16"/>
              </w:rPr>
              <w:br/>
            </w:r>
            <w:r>
              <w:rPr>
                <w:rFonts w:ascii="Arial"/>
                <w:sz w:val="16"/>
              </w:rPr>
              <w:t>Condition: Field active only if 'Qualifier' is not 'no guideline ...'</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lastRenderedPageBreak/>
              <w:t xml:space="preserve">In case a test guideline </w:t>
            </w:r>
            <w:r>
              <w:rPr>
                <w:rFonts w:ascii="Arial"/>
                <w:sz w:val="16"/>
              </w:rPr>
              <w:t xml:space="preserve">or other standardised method was used, indicate if there are any deviations. Briefly state relevant deviations in the supplementary remarks field (e.g. 'other test system used', 'different exposure duration'); </w:t>
            </w:r>
            <w:r>
              <w:rPr>
                <w:rFonts w:ascii="Arial"/>
                <w:sz w:val="16"/>
              </w:rPr>
              <w:lastRenderedPageBreak/>
              <w:t xml:space="preserve">details should be described in the respective </w:t>
            </w:r>
            <w:r>
              <w:rPr>
                <w:rFonts w:ascii="Arial"/>
                <w:sz w:val="16"/>
              </w:rPr>
              <w:t>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E9602E">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Text </w:t>
            </w:r>
            <w:r>
              <w:rPr>
                <w:rFonts w:ascii="Arial"/>
                <w:sz w:val="16"/>
              </w:rPr>
              <w:t>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r>
            <w:r>
              <w:rPr>
                <w:rFonts w:ascii="Arial"/>
                <w:sz w:val="16"/>
              </w:rPr>
              <w:t>- Model description: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w:t>
            </w:r>
            <w:r>
              <w:rPr>
                <w:rFonts w:ascii="Arial"/>
                <w:sz w:val="16"/>
              </w:rPr>
              <w:t>erence'</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If no guideline was followed, include a description of the principles of the test protocol or estimated method used in the study. As appropriate use either of the pre-defined freetext template options for 'Method of non-guideline study' or </w:t>
            </w:r>
            <w:r>
              <w:rPr>
                <w:rFonts w:ascii="Arial"/>
                <w:sz w:val="16"/>
              </w:rPr>
              <w:t>'(Q)SAR'.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test, test conditions and parameters analysed / o</w:t>
            </w:r>
            <w:r>
              <w:rPr>
                <w:rFonts w:ascii="Arial"/>
                <w:sz w:val="16"/>
              </w:rPr>
              <w:t xml:space="preserve">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should be provided in field(s) 'Justification for type of</w:t>
            </w:r>
            <w:r>
              <w:rPr>
                <w:rFonts w:ascii="Arial"/>
                <w:sz w:val="16"/>
              </w:rPr>
              <w:t xml:space="preserve">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w:t>
            </w:r>
            <w:r>
              <w:rPr>
                <w:rFonts w:ascii="Arial"/>
                <w:sz w:val="16"/>
              </w:rPr>
              <w:t xml:space="preserve"> Assurance (QA) statement must be provided with the report.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leaching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Company study no.</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Report date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Test water</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freshwater</w:t>
            </w:r>
            <w:r>
              <w:rPr>
                <w:rFonts w:ascii="Arial"/>
                <w:sz w:val="16"/>
              </w:rPr>
              <w:br/>
              <w:t>- seawater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799" w:rsidRDefault="00E9602E">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799" w:rsidRDefault="00E960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Select the appropriate Test Material Information (TMI) record. If not available in the </w:t>
            </w:r>
            <w:r>
              <w:rPr>
                <w:rFonts w:ascii="Arial"/>
                <w:sz w:val="16"/>
              </w:rPr>
              <w:t>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w:t>
            </w:r>
            <w:r>
              <w:rPr>
                <w:rFonts w:ascii="Arial"/>
                <w:sz w:val="16"/>
              </w:rPr>
              <w:t xml:space="preserv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C4799" w:rsidRDefault="00E9602E">
            <w:r>
              <w:rPr>
                <w:rFonts w:ascii="Arial"/>
                <w:b/>
                <w:sz w:val="16"/>
              </w:rPr>
              <w:t>Cross-reference:</w:t>
            </w:r>
            <w:r>
              <w:rPr>
                <w:rFonts w:ascii="Arial"/>
                <w:b/>
                <w:sz w:val="16"/>
              </w:rPr>
              <w:br/>
            </w:r>
            <w:r>
              <w:rPr>
                <w:rFonts w:ascii="Arial"/>
                <w:sz w:val="16"/>
              </w:rPr>
              <w:t>TEST_MATERIAL_INFORMATION</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Additional test materi</w:t>
            </w:r>
            <w:r>
              <w:rPr>
                <w:rFonts w:ascii="Arial"/>
                <w:sz w:val="16"/>
              </w:rPr>
              <w:t>al information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Select additional Test material information record if relevant. For example, in longer terms studies more than one batch of test material can be needed or there may be differences between the labell</w:t>
            </w:r>
            <w:r>
              <w:rPr>
                <w:rFonts w:ascii="Arial"/>
                <w:sz w:val="16"/>
              </w:rPr>
              <w:t>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C4799" w:rsidRDefault="00E9602E">
            <w:r>
              <w:rPr>
                <w:rFonts w:ascii="Arial"/>
                <w:b/>
                <w:sz w:val="16"/>
              </w:rPr>
              <w:t>Cross-reference:</w:t>
            </w:r>
            <w:r>
              <w:rPr>
                <w:rFonts w:ascii="Arial"/>
                <w:b/>
                <w:sz w:val="16"/>
              </w:rPr>
              <w:br/>
            </w:r>
            <w:r>
              <w:rPr>
                <w:rFonts w:ascii="Arial"/>
                <w:sz w:val="16"/>
              </w:rPr>
              <w:t>TEST_MATERIAL_INFORMATION</w:t>
            </w:r>
          </w:p>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Freetext template:</w:t>
            </w:r>
            <w:r>
              <w:rPr>
                <w:rFonts w:ascii="Arial"/>
                <w:sz w:val="16"/>
              </w:rPr>
              <w:br/>
              <w:t>SOURCE OF TEST MATERIAL</w:t>
            </w:r>
            <w:r>
              <w:rPr>
                <w:rFonts w:ascii="Arial"/>
                <w:sz w:val="16"/>
              </w:rPr>
              <w:br/>
              <w:t xml:space="preserve">- Source (i.e. manufacturer or supplier) and </w:t>
            </w:r>
            <w:r>
              <w:rPr>
                <w:rFonts w:ascii="Arial"/>
                <w:sz w:val="16"/>
              </w:rPr>
              <w:t>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w:t>
            </w:r>
            <w:r>
              <w:rPr>
                <w:rFonts w:ascii="Arial"/>
                <w:sz w:val="16"/>
              </w:rPr>
              <w:t>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xml:space="preserve">- Stability in the </w:t>
            </w:r>
            <w:r>
              <w:rPr>
                <w:rFonts w:ascii="Arial"/>
                <w:sz w:val="16"/>
              </w:rPr>
              <w:t>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w:t>
            </w:r>
            <w:r>
              <w:rPr>
                <w:rFonts w:ascii="Arial"/>
                <w:sz w:val="16"/>
              </w:rPr>
              <w:t xml:space="preserve">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w:t>
            </w:r>
            <w:r>
              <w:rPr>
                <w:rFonts w:ascii="Arial"/>
                <w:sz w:val="16"/>
              </w:rPr>
              <w:t xml:space="preserve"> solid (e.g. stock crystals ground to fine powder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t>- Specify the relevant form characteristics if different from those in the starting material, such as s</w:t>
            </w:r>
            <w:r>
              <w:rPr>
                <w:rFonts w:ascii="Arial"/>
                <w:sz w:val="16"/>
              </w:rPr>
              <w:t>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w:t>
            </w:r>
            <w:r>
              <w:rPr>
                <w:rFonts w:ascii="Arial"/>
                <w:sz w:val="16"/>
              </w:rPr>
              <w:t>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w:t>
            </w:r>
            <w:r>
              <w:rPr>
                <w:rFonts w:ascii="Arial"/>
                <w:sz w:val="16"/>
              </w:rPr>
              <w:t>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lastRenderedPageBreak/>
              <w:t xml:space="preserve">Use this </w:t>
            </w:r>
            <w:r>
              <w:rPr>
                <w:rFonts w:ascii="Arial"/>
                <w:sz w:val="16"/>
              </w:rPr>
              <w:t>field for reporting specific details on the test material as used for the study if they differ from the starting material specified under 'Test material information'. This can include information on the pre-defined items, but not all or additional ones may</w:t>
            </w:r>
            <w:r>
              <w:rPr>
                <w:rFonts w:ascii="Arial"/>
                <w:sz w:val="16"/>
              </w:rPr>
              <w:t xml:space="preserve">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w:t>
            </w:r>
            <w:r>
              <w:rPr>
                <w:rFonts w:ascii="Arial"/>
                <w:sz w:val="16"/>
              </w:rPr>
              <w:t>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lastRenderedPageBreak/>
              <w:t>TEST MATERIAL</w:t>
            </w:r>
            <w:r>
              <w:rPr>
                <w:rFonts w:ascii="Arial"/>
                <w:sz w:val="16"/>
              </w:rPr>
              <w:br/>
            </w:r>
            <w:r>
              <w:rPr>
                <w:rFonts w:ascii="Arial"/>
                <w:sz w:val="16"/>
              </w:rPr>
              <w:br/>
              <w:t>- Storage condition o</w:t>
            </w:r>
            <w:r>
              <w:rPr>
                <w:rFonts w:ascii="Arial"/>
                <w:sz w:val="16"/>
              </w:rPr>
              <w:t>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w:t>
            </w:r>
            <w:r>
              <w:rPr>
                <w:rFonts w:ascii="Arial"/>
                <w:sz w:val="16"/>
              </w:rPr>
              <w:t>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different from </w:t>
            </w:r>
            <w:r>
              <w:rPr>
                <w:rFonts w:ascii="Arial"/>
                <w:sz w:val="16"/>
              </w:rPr>
              <w:t>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w:t>
            </w:r>
            <w:r>
              <w:rPr>
                <w:rFonts w:ascii="Arial"/>
                <w:sz w:val="16"/>
              </w:rPr>
              <w:t xml:space="preserve">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w:t>
            </w:r>
            <w:r>
              <w:rPr>
                <w:rFonts w:ascii="Arial"/>
                <w:sz w:val="16"/>
              </w:rPr>
              <w:lastRenderedPageBreak/>
              <w:t>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lastRenderedPageBreak/>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w:t>
            </w:r>
            <w:r>
              <w:rPr>
                <w:rFonts w:ascii="Arial"/>
                <w:sz w:val="16"/>
              </w:rPr>
              <w:lastRenderedPageBreak/>
              <w:t>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799" w:rsidRDefault="00E9602E">
            <w:r>
              <w:rPr>
                <w:rFonts w:ascii="Arial"/>
                <w:b/>
                <w:sz w:val="16"/>
              </w:rPr>
              <w:t>Wood preservative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799" w:rsidRDefault="00E960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 xml:space="preserve">Supplier of the </w:t>
            </w:r>
            <w:r>
              <w:rPr>
                <w:rFonts w:ascii="Arial"/>
                <w:sz w:val="16"/>
              </w:rPr>
              <w:t>preservative (name)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Type of formulation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liquid formulation</w:t>
            </w:r>
            <w:r>
              <w:rPr>
                <w:rFonts w:ascii="Arial"/>
                <w:sz w:val="16"/>
              </w:rPr>
              <w:br/>
              <w:t>- emulsion/micro-emulsion</w:t>
            </w:r>
            <w:r>
              <w:rPr>
                <w:rFonts w:ascii="Arial"/>
                <w:sz w:val="16"/>
              </w:rPr>
              <w:br/>
              <w:t>- solid formulation</w:t>
            </w:r>
            <w:r>
              <w:rPr>
                <w:rFonts w:ascii="Arial"/>
                <w:sz w:val="16"/>
              </w:rPr>
              <w:br/>
              <w:t>- granulate material</w:t>
            </w:r>
            <w:r>
              <w:rPr>
                <w:rFonts w:ascii="Arial"/>
                <w:sz w:val="16"/>
              </w:rPr>
              <w:br/>
              <w:t>- rod/cartridge</w:t>
            </w:r>
            <w:r>
              <w:rPr>
                <w:rFonts w:ascii="Arial"/>
                <w:sz w:val="16"/>
              </w:rPr>
              <w:br/>
              <w:t>- pastes</w:t>
            </w:r>
            <w:r>
              <w:rPr>
                <w:rFonts w:ascii="Arial"/>
                <w:sz w:val="16"/>
              </w:rPr>
              <w:br/>
              <w:t>- bandages</w:t>
            </w:r>
            <w:r>
              <w:rPr>
                <w:rFonts w:ascii="Arial"/>
                <w:sz w:val="16"/>
              </w:rPr>
              <w:br/>
              <w:t xml:space="preserve">- </w:t>
            </w:r>
            <w:r>
              <w:rPr>
                <w:rFonts w:ascii="Arial"/>
                <w:sz w:val="16"/>
              </w:rPr>
              <w:t>foams</w:t>
            </w:r>
            <w:r>
              <w:rPr>
                <w:rFonts w:ascii="Arial"/>
                <w:sz w:val="16"/>
              </w:rPr>
              <w:br/>
              <w:t>- gas generating product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Preservative (specific and unique name or code)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oil-borne: creosote</w:t>
            </w:r>
            <w:r>
              <w:rPr>
                <w:rFonts w:ascii="Arial"/>
                <w:sz w:val="16"/>
              </w:rPr>
              <w:br/>
              <w:t>- oil-borne: creosote solutions</w:t>
            </w:r>
            <w:r>
              <w:rPr>
                <w:rFonts w:ascii="Arial"/>
                <w:sz w:val="16"/>
              </w:rPr>
              <w:br/>
              <w:t>- oil-borne: creosote - petroleum</w:t>
            </w:r>
            <w:r>
              <w:rPr>
                <w:rFonts w:ascii="Arial"/>
                <w:sz w:val="16"/>
              </w:rPr>
              <w:br/>
              <w:t xml:space="preserve">- oil-borne: </w:t>
            </w:r>
            <w:r>
              <w:rPr>
                <w:rFonts w:ascii="Arial"/>
                <w:sz w:val="16"/>
              </w:rPr>
              <w:t>pentachlorophenol (PCP) type A</w:t>
            </w:r>
            <w:r>
              <w:rPr>
                <w:rFonts w:ascii="Arial"/>
                <w:sz w:val="16"/>
              </w:rPr>
              <w:br/>
              <w:t>- oil-borne: pentachlorophenol (PCP) type E</w:t>
            </w:r>
            <w:r>
              <w:rPr>
                <w:rFonts w:ascii="Arial"/>
                <w:sz w:val="16"/>
              </w:rPr>
              <w:br/>
              <w:t>- oil-borne: copper naphthenate</w:t>
            </w:r>
            <w:r>
              <w:rPr>
                <w:rFonts w:ascii="Arial"/>
                <w:sz w:val="16"/>
              </w:rPr>
              <w:br/>
              <w:t>- oil-borne: oxine copper (copper-8-quinolinolate)</w:t>
            </w:r>
            <w:r>
              <w:rPr>
                <w:rFonts w:ascii="Arial"/>
                <w:sz w:val="16"/>
              </w:rPr>
              <w:br/>
              <w:t>- oil-borne: propiconazole</w:t>
            </w:r>
            <w:r>
              <w:rPr>
                <w:rFonts w:ascii="Arial"/>
                <w:sz w:val="16"/>
              </w:rPr>
              <w:br/>
              <w:t>- oil-borne: tebuconazole</w:t>
            </w:r>
            <w:r>
              <w:rPr>
                <w:rFonts w:ascii="Arial"/>
                <w:sz w:val="16"/>
              </w:rPr>
              <w:br/>
              <w:t>- oil-borne: chloropyriphos</w:t>
            </w:r>
            <w:r>
              <w:rPr>
                <w:rFonts w:ascii="Arial"/>
                <w:sz w:val="16"/>
              </w:rPr>
              <w:br/>
            </w:r>
            <w:r>
              <w:rPr>
                <w:rFonts w:ascii="Arial"/>
                <w:sz w:val="16"/>
              </w:rPr>
              <w:lastRenderedPageBreak/>
              <w:t>- waterborne: aci</w:t>
            </w:r>
            <w:r>
              <w:rPr>
                <w:rFonts w:ascii="Arial"/>
                <w:sz w:val="16"/>
              </w:rPr>
              <w:t>d copper chormate (ACC) or didecyldimethylammonium-chloride (DDAC)</w:t>
            </w:r>
            <w:r>
              <w:rPr>
                <w:rFonts w:ascii="Arial"/>
                <w:sz w:val="16"/>
              </w:rPr>
              <w:br/>
              <w:t>- waterborne: didecyldimethylammonium carbonate/bicarbonate (carboquat)</w:t>
            </w:r>
            <w:r>
              <w:rPr>
                <w:rFonts w:ascii="Arial"/>
                <w:sz w:val="16"/>
              </w:rPr>
              <w:br/>
              <w:t>- waterborne: alkaline copper quat type b (ACQ-B)</w:t>
            </w:r>
            <w:r>
              <w:rPr>
                <w:rFonts w:ascii="Arial"/>
                <w:sz w:val="16"/>
              </w:rPr>
              <w:br/>
              <w:t>- waterborne: alkaline copper quat type d (ACQ-D)</w:t>
            </w:r>
            <w:r>
              <w:rPr>
                <w:rFonts w:ascii="Arial"/>
                <w:sz w:val="16"/>
              </w:rPr>
              <w:br/>
              <w:t>- waterborne: alk</w:t>
            </w:r>
            <w:r>
              <w:rPr>
                <w:rFonts w:ascii="Arial"/>
                <w:sz w:val="16"/>
              </w:rPr>
              <w:t>yl ammonia compound (ACC) and inorganic boron</w:t>
            </w:r>
            <w:r>
              <w:rPr>
                <w:rFonts w:ascii="Arial"/>
                <w:sz w:val="16"/>
              </w:rPr>
              <w:br/>
              <w:t>- waterborne: ammoniacal copper citrate (CC)</w:t>
            </w:r>
            <w:r>
              <w:rPr>
                <w:rFonts w:ascii="Arial"/>
                <w:sz w:val="16"/>
              </w:rPr>
              <w:br/>
              <w:t>- waterborne: ammoniacle copper zinc arsenate (ACZA) or ammoniacal copper zinc</w:t>
            </w:r>
            <w:r>
              <w:rPr>
                <w:rFonts w:ascii="Arial"/>
                <w:sz w:val="16"/>
              </w:rPr>
              <w:br/>
              <w:t>- waterborne: arsenate (ACA)</w:t>
            </w:r>
            <w:r>
              <w:rPr>
                <w:rFonts w:ascii="Arial"/>
                <w:sz w:val="16"/>
              </w:rPr>
              <w:br/>
              <w:t>- waterborne: borate preservatives</w:t>
            </w:r>
            <w:r>
              <w:rPr>
                <w:rFonts w:ascii="Arial"/>
                <w:sz w:val="16"/>
              </w:rPr>
              <w:br/>
              <w:t>- waterborne: copper a</w:t>
            </w:r>
            <w:r>
              <w:rPr>
                <w:rFonts w:ascii="Arial"/>
                <w:sz w:val="16"/>
              </w:rPr>
              <w:t>zol-type A (CBA-A)</w:t>
            </w:r>
            <w:r>
              <w:rPr>
                <w:rFonts w:ascii="Arial"/>
                <w:sz w:val="16"/>
              </w:rPr>
              <w:br/>
              <w:t>- waterborne: copper azole type B (CA-B) (Wolman E)</w:t>
            </w:r>
            <w:r>
              <w:rPr>
                <w:rFonts w:ascii="Arial"/>
                <w:sz w:val="16"/>
              </w:rPr>
              <w:br/>
              <w:t>- waterborne: copper bis(dimethyldithiocarbamate) (CDDC)</w:t>
            </w:r>
            <w:r>
              <w:rPr>
                <w:rFonts w:ascii="Arial"/>
                <w:sz w:val="16"/>
              </w:rPr>
              <w:br/>
              <w:t>- waterborne: chromated copper arsenate type A (CCA-A) (Greensalt)</w:t>
            </w:r>
            <w:r>
              <w:rPr>
                <w:rFonts w:ascii="Arial"/>
                <w:sz w:val="16"/>
              </w:rPr>
              <w:br/>
              <w:t>- waterborne: chromated copper arsenate type B (CCA-B)(K-33)</w:t>
            </w:r>
            <w:r>
              <w:rPr>
                <w:rFonts w:ascii="Arial"/>
                <w:sz w:val="16"/>
              </w:rPr>
              <w:br/>
            </w:r>
            <w:r>
              <w:rPr>
                <w:rFonts w:ascii="Arial"/>
                <w:sz w:val="16"/>
              </w:rPr>
              <w:t>- waterborne: chromated copper arsenate type C (CCA-C) (Wolman)</w:t>
            </w:r>
            <w:r>
              <w:rPr>
                <w:rFonts w:ascii="Arial"/>
                <w:sz w:val="16"/>
              </w:rPr>
              <w:br/>
              <w:t>- waterborne: 4,5, dichloro-n-octyl-4-isothiazolin-3-one (RH-287) (Kathon)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Active Ingredient(s) (trade or common name)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arsenic</w:t>
            </w:r>
            <w:r>
              <w:rPr>
                <w:rFonts w:ascii="Arial"/>
                <w:sz w:val="16"/>
              </w:rPr>
              <w:br/>
              <w:t>-</w:t>
            </w:r>
            <w:r>
              <w:rPr>
                <w:rFonts w:ascii="Arial"/>
                <w:sz w:val="16"/>
              </w:rPr>
              <w:t xml:space="preserve"> arsenic acid</w:t>
            </w:r>
            <w:r>
              <w:rPr>
                <w:rFonts w:ascii="Arial"/>
                <w:sz w:val="16"/>
              </w:rPr>
              <w:br/>
              <w:t>- arsenic pentaoxide</w:t>
            </w:r>
            <w:r>
              <w:rPr>
                <w:rFonts w:ascii="Arial"/>
                <w:sz w:val="16"/>
              </w:rPr>
              <w:br/>
              <w:t>- boric acid</w:t>
            </w:r>
            <w:r>
              <w:rPr>
                <w:rFonts w:ascii="Arial"/>
                <w:sz w:val="16"/>
              </w:rPr>
              <w:br/>
              <w:t>- chromium</w:t>
            </w:r>
            <w:r>
              <w:rPr>
                <w:rFonts w:ascii="Arial"/>
                <w:sz w:val="16"/>
              </w:rPr>
              <w:br/>
              <w:t>- chromium trioxide</w:t>
            </w:r>
            <w:r>
              <w:rPr>
                <w:rFonts w:ascii="Arial"/>
                <w:sz w:val="16"/>
              </w:rPr>
              <w:br/>
              <w:t>- citric acid</w:t>
            </w:r>
            <w:r>
              <w:rPr>
                <w:rFonts w:ascii="Arial"/>
                <w:sz w:val="16"/>
              </w:rPr>
              <w:br/>
              <w:t>- copper carbonate</w:t>
            </w:r>
            <w:r>
              <w:rPr>
                <w:rFonts w:ascii="Arial"/>
                <w:sz w:val="16"/>
              </w:rPr>
              <w:br/>
              <w:t>- copper hydroxide</w:t>
            </w:r>
            <w:r>
              <w:rPr>
                <w:rFonts w:ascii="Arial"/>
                <w:sz w:val="16"/>
              </w:rPr>
              <w:br/>
              <w:t>- copper oxide</w:t>
            </w:r>
            <w:r>
              <w:rPr>
                <w:rFonts w:ascii="Arial"/>
                <w:sz w:val="16"/>
              </w:rPr>
              <w:br/>
              <w:t>- copper sulfate</w:t>
            </w:r>
            <w:r>
              <w:rPr>
                <w:rFonts w:ascii="Arial"/>
                <w:sz w:val="16"/>
              </w:rPr>
              <w:br/>
              <w:t>- creosote</w:t>
            </w:r>
            <w:r>
              <w:rPr>
                <w:rFonts w:ascii="Arial"/>
                <w:sz w:val="16"/>
              </w:rPr>
              <w:br/>
            </w:r>
            <w:r>
              <w:rPr>
                <w:rFonts w:ascii="Arial"/>
                <w:sz w:val="16"/>
              </w:rPr>
              <w:lastRenderedPageBreak/>
              <w:t>- pyroarsenate</w:t>
            </w:r>
            <w:r>
              <w:rPr>
                <w:rFonts w:ascii="Arial"/>
                <w:sz w:val="16"/>
              </w:rPr>
              <w:br/>
              <w:t>- sodium arsenate</w:t>
            </w:r>
            <w:r>
              <w:rPr>
                <w:rFonts w:ascii="Arial"/>
                <w:sz w:val="16"/>
              </w:rPr>
              <w:br/>
              <w:t>- sodium borate</w:t>
            </w:r>
            <w:r>
              <w:rPr>
                <w:rFonts w:ascii="Arial"/>
                <w:sz w:val="16"/>
              </w:rPr>
              <w:br/>
              <w:t>- sodium pentaborate</w:t>
            </w:r>
            <w:r>
              <w:rPr>
                <w:rFonts w:ascii="Arial"/>
                <w:sz w:val="16"/>
              </w:rPr>
              <w:br/>
              <w:t>- sodium cot</w:t>
            </w:r>
            <w:r>
              <w:rPr>
                <w:rFonts w:ascii="Arial"/>
                <w:sz w:val="16"/>
              </w:rPr>
              <w:t>oborate</w:t>
            </w:r>
            <w:r>
              <w:rPr>
                <w:rFonts w:ascii="Arial"/>
                <w:sz w:val="16"/>
              </w:rPr>
              <w:br/>
              <w:t>- sodium tetraborate</w:t>
            </w:r>
            <w:r>
              <w:rPr>
                <w:rFonts w:ascii="Arial"/>
                <w:sz w:val="16"/>
              </w:rPr>
              <w:br/>
              <w:t>- zinc</w:t>
            </w:r>
            <w:r>
              <w:rPr>
                <w:rFonts w:ascii="Arial"/>
                <w:sz w:val="16"/>
              </w:rPr>
              <w:br/>
              <w:t>- zinc oxide</w:t>
            </w:r>
            <w:r>
              <w:rPr>
                <w:rFonts w:ascii="Arial"/>
                <w:sz w:val="16"/>
              </w:rPr>
              <w:br/>
              <w:t>- 4,5, dichloro-n-octyl-4-isothiazolin-3-one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Composition (in % m/m)</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Coformulants</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 xml:space="preserve">Retention or loading specified </w:t>
            </w:r>
            <w:r>
              <w:rPr>
                <w:rFonts w:ascii="Arial"/>
                <w:sz w:val="16"/>
              </w:rPr>
              <w:t>for tested wood</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label retention rates</w:t>
            </w:r>
            <w:r>
              <w:rPr>
                <w:rFonts w:ascii="Arial"/>
                <w:sz w:val="16"/>
              </w:rPr>
              <w:br/>
              <w:t>- actual test retention rate</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799" w:rsidRDefault="00E9602E">
            <w:r>
              <w:rPr>
                <w:rFonts w:ascii="Arial"/>
                <w:b/>
                <w:sz w:val="16"/>
              </w:rPr>
              <w:t>Application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799" w:rsidRDefault="00E960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Application method</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xml:space="preserve">- </w:t>
            </w:r>
            <w:r>
              <w:rPr>
                <w:rFonts w:ascii="Arial"/>
                <w:sz w:val="16"/>
              </w:rPr>
              <w:t>penetration process</w:t>
            </w:r>
            <w:r>
              <w:rPr>
                <w:rFonts w:ascii="Arial"/>
                <w:sz w:val="16"/>
              </w:rPr>
              <w:br/>
              <w:t>- vacuum pressure//penetration process</w:t>
            </w:r>
            <w:r>
              <w:rPr>
                <w:rFonts w:ascii="Arial"/>
                <w:sz w:val="16"/>
              </w:rPr>
              <w:br/>
              <w:t>- double vacuum pressure//superficial treatment</w:t>
            </w:r>
            <w:r>
              <w:rPr>
                <w:rFonts w:ascii="Arial"/>
                <w:sz w:val="16"/>
              </w:rPr>
              <w:br/>
              <w:t>- dipping//superficial treatment</w:t>
            </w:r>
            <w:r>
              <w:rPr>
                <w:rFonts w:ascii="Arial"/>
                <w:sz w:val="16"/>
              </w:rPr>
              <w:br/>
              <w:t>- spraying//superficial treatment</w:t>
            </w:r>
            <w:r>
              <w:rPr>
                <w:rFonts w:ascii="Arial"/>
                <w:sz w:val="16"/>
              </w:rPr>
              <w:br/>
              <w:t>- brushing//industrial treatment</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Treatment Facility</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Registrant</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Details of method (treatment schedule)</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Date of application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Formula used to calculate the retention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Text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Conditioning procedure (type, conditions, duration)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End sealant (specification and number of times applied)</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 xml:space="preserve">Subsequent treatment (paint </w:t>
            </w:r>
            <w:r>
              <w:rPr>
                <w:rFonts w:ascii="Arial"/>
                <w:sz w:val="16"/>
              </w:rPr>
              <w:t>supplier, paint type, characteristics and loading of paint)</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799" w:rsidRDefault="00E9602E">
            <w:r>
              <w:rPr>
                <w:rFonts w:ascii="Arial"/>
                <w:b/>
                <w:sz w:val="16"/>
              </w:rPr>
              <w:t>Test specimens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799" w:rsidRDefault="00E960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Test specimens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Wood species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Picklist values:</w:t>
            </w:r>
            <w:r>
              <w:rPr>
                <w:rFonts w:ascii="Arial"/>
                <w:sz w:val="16"/>
              </w:rPr>
              <w:br/>
              <w:t xml:space="preserve">- Pinus </w:t>
            </w:r>
            <w:r>
              <w:rPr>
                <w:rFonts w:ascii="Arial"/>
                <w:sz w:val="16"/>
              </w:rPr>
              <w:t>sylvestris L.</w:t>
            </w:r>
            <w:r>
              <w:rPr>
                <w:rFonts w:ascii="Arial"/>
                <w:sz w:val="16"/>
              </w:rPr>
              <w:br/>
              <w:t>- Pinus resinosa Ait.</w:t>
            </w:r>
            <w:r>
              <w:rPr>
                <w:rFonts w:ascii="Arial"/>
                <w:sz w:val="16"/>
              </w:rPr>
              <w:br/>
              <w:t>- Pinus spp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Source of wood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Density of wood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xml:space="preserve">- </w:t>
            </w:r>
            <w:r>
              <w:rPr>
                <w:rFonts w:ascii="Arial"/>
                <w:sz w:val="16"/>
              </w:rPr>
              <w:t>&lt;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kg/m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Growth rate (number of annual rings per 10mm)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z</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Moisture content (%)</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Test specimens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Water samples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 xml:space="preserve">Mean </w:t>
            </w:r>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Mean temperature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Unit [xx]:</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Water samples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Loading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Ratio of</w:t>
            </w:r>
            <w:r>
              <w:rPr>
                <w:rFonts w:ascii="Arial"/>
                <w:sz w:val="16"/>
              </w:rPr>
              <w:t xml:space="preserve"> wood weight per water volume in the immersion container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Unit [xx]:</w:t>
            </w:r>
            <w:r>
              <w:rPr>
                <w:rFonts w:ascii="Arial"/>
                <w:sz w:val="16"/>
              </w:rPr>
              <w:br/>
              <w:t>- kg/m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Ratio of wood surface area to water volume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Unit [xx]:</w:t>
            </w:r>
            <w:r>
              <w:rPr>
                <w:rFonts w:ascii="Arial"/>
                <w:sz w:val="16"/>
              </w:rPr>
              <w:br/>
              <w:t>- m</w:t>
            </w:r>
            <w:r>
              <w:rPr>
                <w:rFonts w:ascii="Arial"/>
                <w:sz w:val="16"/>
              </w:rPr>
              <w:t>²</w:t>
            </w:r>
            <w:r>
              <w:rPr>
                <w:rFonts w:ascii="Arial"/>
                <w:sz w:val="16"/>
              </w:rPr>
              <w:t>/m</w:t>
            </w:r>
            <w:r>
              <w:rPr>
                <w:rFonts w:ascii="Arial"/>
                <w:sz w:val="16"/>
              </w:rPr>
              <w:t>³</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 xml:space="preserve">Loading </w:t>
            </w:r>
            <w:r>
              <w:rPr>
                <w:rFonts w:ascii="Arial"/>
                <w:b/>
                <w:sz w:val="16"/>
              </w:rPr>
              <w:t>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799" w:rsidRDefault="00E9602E">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799" w:rsidRDefault="00E960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DC4799"/>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In this field, you can enter any information on materials and methods, for which no distinct </w:t>
            </w:r>
            <w:r>
              <w:rPr>
                <w:rFonts w:ascii="Arial"/>
                <w:sz w:val="16"/>
              </w:rPr>
              <w:t>field is available, or transfer free text from other databases. You can also open a rich text editor and create formatted text and tables or insert and edit any excerpt from a word processing or spreadsheet document, provided it was converted to the HTML f</w:t>
            </w:r>
            <w:r>
              <w:rPr>
                <w:rFonts w:ascii="Arial"/>
                <w:sz w:val="16"/>
              </w:rPr>
              <w:t>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799" w:rsidRDefault="00E9602E">
            <w:r>
              <w:rPr>
                <w:rFonts w:ascii="Arial"/>
                <w:b/>
                <w:sz w:val="16"/>
              </w:rPr>
              <w:t xml:space="preserve">Results </w:t>
            </w:r>
            <w:r>
              <w:rPr>
                <w:rFonts w:ascii="Arial"/>
                <w:b/>
                <w:sz w:val="16"/>
              </w:rPr>
              <w:t>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799" w:rsidRDefault="00E960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Retention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Replicate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Retention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numeric </w:t>
            </w:r>
            <w:r>
              <w:rPr>
                <w:rFonts w:ascii="Arial"/>
                <w:b/>
                <w:sz w:val="16"/>
              </w:rPr>
              <w:t>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kg/m</w:t>
            </w:r>
            <w:r>
              <w:rPr>
                <w:rFonts w:ascii="Arial"/>
                <w:sz w:val="16"/>
              </w:rPr>
              <w:t>³</w:t>
            </w:r>
            <w:r>
              <w:rPr>
                <w:rFonts w:ascii="Arial"/>
                <w:sz w:val="16"/>
              </w:rPr>
              <w:br/>
              <w:t>- L/m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St. dev.</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Retention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Leaching</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Time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Unit [xx]:</w:t>
            </w:r>
            <w:r>
              <w:rPr>
                <w:rFonts w:ascii="Arial"/>
                <w:sz w:val="16"/>
              </w:rPr>
              <w:br/>
              <w:t>- s</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r>
              <w:rPr>
                <w:rFonts w:ascii="Arial"/>
                <w:sz w:val="16"/>
              </w:rPr>
              <w:br/>
              <w:t>- yr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Active ingredient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Type of specimen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Picklist values:</w:t>
            </w:r>
            <w:r>
              <w:rPr>
                <w:rFonts w:ascii="Arial"/>
                <w:sz w:val="16"/>
              </w:rPr>
              <w:br/>
              <w:t>- treated</w:t>
            </w:r>
            <w:r>
              <w:rPr>
                <w:rFonts w:ascii="Arial"/>
                <w:sz w:val="16"/>
              </w:rPr>
              <w:br/>
              <w:t>- untreated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Specimen 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Emission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mg/m</w:t>
            </w:r>
            <w:r>
              <w:rPr>
                <w:rFonts w:ascii="Arial"/>
                <w:sz w:val="16"/>
              </w:rPr>
              <w:t>²</w:t>
            </w:r>
            <w:r>
              <w:rPr>
                <w:rFonts w:ascii="Arial"/>
                <w:sz w:val="16"/>
              </w:rPr>
              <w:t>/d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 xml:space="preserve">Text (32,768 </w:t>
            </w:r>
            <w:r>
              <w:rPr>
                <w:rFonts w:ascii="Arial"/>
                <w:sz w:val="16"/>
              </w:rPr>
              <w:t>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Leaching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E9602E">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Quality Criteria</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DC4799"/>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C4799" w:rsidRDefault="00E9602E">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C4799" w:rsidRDefault="00E9602E">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DC4799"/>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In this field, you can enter any other remarks on results. You can also open a rich text editor and create formatted text and tables or </w:t>
            </w:r>
            <w:r>
              <w:rPr>
                <w:rFonts w:ascii="Arial"/>
                <w:sz w:val="16"/>
              </w:rPr>
              <w:t>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addition the fields 'Overall </w:t>
            </w:r>
            <w:r>
              <w:rPr>
                <w:rFonts w:ascii="Arial"/>
                <w:sz w:val="16"/>
              </w:rPr>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799" w:rsidRDefault="00E9602E">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799" w:rsidRDefault="00E960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In this field, you can enter any overall remarks or transfer free text from other databases. You </w:t>
            </w:r>
            <w:r>
              <w:rPr>
                <w:rFonts w:ascii="Arial"/>
                <w:sz w:val="16"/>
              </w:rPr>
              <w:t>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w:t>
            </w:r>
            <w:r>
              <w:rPr>
                <w:rFonts w:ascii="Arial"/>
                <w:sz w:val="16"/>
              </w:rPr>
              <w:t xml:space="preserve">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C4799" w:rsidRDefault="00E9602E">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Attach any background document</w:t>
            </w:r>
            <w:r>
              <w:rPr>
                <w:rFonts w:ascii="Arial"/>
                <w:sz w:val="16"/>
              </w:rPr>
              <w:t xml:space="preserve">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Picklist values:</w:t>
            </w:r>
            <w:r>
              <w:rPr>
                <w:rFonts w:ascii="Arial"/>
                <w:sz w:val="16"/>
              </w:rPr>
              <w:br/>
              <w:t xml:space="preserve">- full study </w:t>
            </w:r>
            <w:r>
              <w:rPr>
                <w:rFonts w:ascii="Arial"/>
                <w:sz w:val="16"/>
              </w:rPr>
              <w:t>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 xml:space="preserve">An electronic copy of the full study report or other documents can be </w:t>
            </w:r>
            <w:r>
              <w:rPr>
                <w:rFonts w:ascii="Arial"/>
                <w:sz w:val="16"/>
              </w:rPr>
              <w:t>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sz w:val="16"/>
              </w:rPr>
              <w:t xml:space="preserve">An electronic copy of a public (non-confidential) version of the full study report or other relevant documents can be </w:t>
            </w:r>
            <w:r>
              <w:rPr>
                <w:rFonts w:ascii="Arial"/>
                <w:sz w:val="16"/>
              </w:rPr>
              <w:t>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C4799" w:rsidRDefault="00E9602E">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C4799" w:rsidRDefault="00DC479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C4799" w:rsidRDefault="00E9602E">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C4799" w:rsidRDefault="00DC479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C4799" w:rsidRDefault="00E9602E">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C4799" w:rsidRDefault="00E9602E">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C4799" w:rsidRDefault="00DC479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Upload file by clicking the upload icon. As appropriate, enter any additional information, e.g. language. The file name is displayed after uploading the </w:t>
            </w:r>
            <w:r>
              <w:rPr>
                <w:rFonts w:ascii="Arial"/>
                <w:sz w:val="16"/>
              </w:rPr>
              <w:t>document.</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Kinetic evaluation</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Upload Kinetic evaluation (visual and statistical)</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C4799" w:rsidRDefault="00E9602E">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C4799" w:rsidRDefault="00E9602E">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C4799" w:rsidRDefault="00DC479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Enter any conclusions if </w:t>
            </w:r>
            <w:r>
              <w:rPr>
                <w:rFonts w:ascii="Arial"/>
                <w:sz w:val="16"/>
              </w:rPr>
              <w:t>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r w:rsidR="00DC479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C4799" w:rsidRDefault="00DC479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C4799" w:rsidRDefault="00E9602E">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C4799" w:rsidRDefault="00DC4799"/>
        </w:tc>
        <w:tc>
          <w:tcPr>
            <w:tcW w:w="3709" w:type="dxa"/>
            <w:tcBorders>
              <w:top w:val="outset" w:sz="6" w:space="0" w:color="auto"/>
              <w:left w:val="outset" w:sz="6" w:space="0" w:color="auto"/>
              <w:bottom w:val="outset" w:sz="6" w:space="0" w:color="FFFFFF"/>
              <w:right w:val="outset" w:sz="6" w:space="0" w:color="auto"/>
            </w:tcBorders>
          </w:tcPr>
          <w:p w:rsidR="00DC4799" w:rsidRDefault="00E9602E">
            <w:r>
              <w:rPr>
                <w:rFonts w:ascii="Arial"/>
                <w:sz w:val="16"/>
              </w:rPr>
              <w:t xml:space="preserve">If relevant for the respective regulatory programme, briefly summarise the </w:t>
            </w:r>
            <w:r>
              <w:rPr>
                <w:rFonts w:ascii="Arial"/>
                <w:sz w:val="16"/>
              </w:rPr>
              <w:t>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 guidance (e.g. OECD Programme, Pe</w:t>
            </w:r>
            <w:r>
              <w:rPr>
                <w:rFonts w:ascii="Arial"/>
                <w:sz w:val="16"/>
              </w:rPr>
              <w:t>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C4799" w:rsidRDefault="00DC479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9602E">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9602E">
          <w:rPr>
            <w:rFonts w:ascii="Times New Roman" w:hAnsi="Times New Roman" w:cs="Times New Roman"/>
            <w:noProof/>
            <w:snapToGrid w:val="0"/>
            <w:lang w:eastAsia="fi-FI"/>
          </w:rPr>
          <w:t>38</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#90: Emissions from preservative-treated wood</w:t>
    </w:r>
    <w:r>
      <w:rPr>
        <w:i/>
      </w:rPr>
      <w:t xml:space="preserve"> (Version [8.1]-[</w:t>
    </w:r>
    <w:r w:rsidR="00E9602E">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AF64C8"/>
    <w:multiLevelType w:val="multilevel"/>
    <w:tmpl w:val="1B1EAA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6"/>
  </w:num>
  <w:num w:numId="5">
    <w:abstractNumId w:val="5"/>
  </w:num>
  <w:num w:numId="6">
    <w:abstractNumId w:val="17"/>
  </w:num>
  <w:num w:numId="7">
    <w:abstractNumId w:val="8"/>
  </w:num>
  <w:num w:numId="8">
    <w:abstractNumId w:val="14"/>
  </w:num>
  <w:num w:numId="9">
    <w:abstractNumId w:val="18"/>
  </w:num>
  <w:num w:numId="10">
    <w:abstractNumId w:val="21"/>
  </w:num>
  <w:num w:numId="11">
    <w:abstractNumId w:val="1"/>
  </w:num>
  <w:num w:numId="12">
    <w:abstractNumId w:val="7"/>
  </w:num>
  <w:num w:numId="13">
    <w:abstractNumId w:val="6"/>
  </w:num>
  <w:num w:numId="14">
    <w:abstractNumId w:val="15"/>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4799"/>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9602E"/>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514C79"/>
  <w15:docId w15:val="{1655AA06-18D2-4B45-B0A8-16734FAB3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96835-376B-440E-A0E2-8FDE66C4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8985</Words>
  <Characters>50856</Characters>
  <Application>Microsoft Office Word</Application>
  <DocSecurity>0</DocSecurity>
  <Lines>2825</Lines>
  <Paragraphs>529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2021-11-23T17:17:00Z</dcterms:created>
  <dcterms:modified xsi:type="dcterms:W3CDTF">2021-11-23T17:17:00Z</dcterms:modified>
</cp:coreProperties>
</file>