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Auto flammability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4D2B9A">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01B" w:rsidRDefault="004D2B9A">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01B" w:rsidRDefault="004D2B9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08201B"/>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08201B"/>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auto-ignition temperature (gases)</w:t>
            </w:r>
            <w:r>
              <w:rPr>
                <w:rFonts w:ascii="Arial"/>
                <w:sz w:val="16"/>
              </w:rPr>
              <w:br/>
              <w:t>- auto-ignition temperature (liquids)</w:t>
            </w:r>
            <w:r>
              <w:rPr>
                <w:rFonts w:ascii="Arial"/>
                <w:sz w:val="16"/>
              </w:rPr>
              <w:br/>
              <w:t>- relative self-ignition temperature (solids)</w:t>
            </w:r>
            <w:r>
              <w:rPr>
                <w:rFonts w:ascii="Arial"/>
                <w:sz w:val="16"/>
              </w:rPr>
              <w:br/>
              <w:t>- self-ignition of dust accumulation</w:t>
            </w:r>
            <w:r>
              <w:rPr>
                <w:rFonts w:ascii="Arial"/>
                <w:sz w:val="16"/>
              </w:rPr>
              <w:br/>
              <w:t>- auto-ignition temperature,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From the picklist select the relevant end</w:t>
            </w:r>
            <w:r>
              <w:rPr>
                <w:rFonts w:ascii="Arial"/>
                <w:sz w:val="16"/>
              </w:rPr>
              <w:t>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w:t>
            </w:r>
            <w:r>
              <w:rPr>
                <w:rFonts w:ascii="Arial"/>
                <w:sz w:val="16"/>
              </w:rPr>
              <w:t>d be selected. If none matches, select the more generic endpoint description '&lt;Generic endpoint&gt;, other' (e.g. Skin irritation / corrosion, other) and give an explanation in the adjacent text field. The generic endpoint title reflects the title of the corr</w:t>
            </w:r>
            <w:r>
              <w:rPr>
                <w:rFonts w:ascii="Arial"/>
                <w:sz w:val="16"/>
              </w:rPr>
              <w:t>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w:t>
            </w:r>
            <w:r>
              <w:rPr>
                <w:rFonts w:ascii="Arial"/>
                <w:sz w:val="16"/>
              </w:rPr>
              <w:t>el should be described in field 'Justification of non-standard information' or 'Attached justification'. A specific endpoint title may be used, if addressed by the (Q)SAR information, i.e. the model behind has been validated by experimental data addressing</w:t>
            </w:r>
            <w:r>
              <w:rPr>
                <w:rFonts w:ascii="Arial"/>
                <w:sz w:val="16"/>
              </w:rPr>
              <w:t xml:space="preserve">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w:t>
            </w:r>
            <w:r>
              <w:rPr>
                <w:rFonts w:ascii="Arial"/>
                <w:sz w:val="16"/>
              </w:rPr>
              <w:t>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lastRenderedPageBreak/>
              <w:t>Guidance for data migration:</w:t>
            </w:r>
            <w:r>
              <w:rPr>
                <w:rFonts w:ascii="Arial"/>
                <w:b/>
                <w:sz w:val="16"/>
              </w:rPr>
              <w:br/>
            </w:r>
            <w:r>
              <w:rPr>
                <w:rFonts w:ascii="Arial"/>
                <w:sz w:val="16"/>
              </w:rPr>
              <w:t>Selection of target phrase trigge</w:t>
            </w:r>
            <w:r>
              <w:rPr>
                <w:rFonts w:ascii="Arial"/>
                <w:sz w:val="16"/>
              </w:rPr>
              <w:t>red by value of field 'Guideline'. However, no distinction can be made between gases and liquids based on the relevant test guidelines. In this case or if 'Guideline' is empty or 'other guideline' select the generic target phrase 'auto-flammability'.</w:t>
            </w:r>
            <w:r>
              <w:rPr>
                <w:rFonts w:ascii="Arial"/>
                <w:sz w:val="16"/>
              </w:rPr>
              <w:br/>
              <w:t>Note:</w:t>
            </w:r>
            <w:r>
              <w:rPr>
                <w:rFonts w:ascii="Arial"/>
                <w:sz w:val="16"/>
              </w:rPr>
              <w:t xml:space="preserve"> The generic phrase is only used for migration, but otherwise deactivated in the picklist. For new entries a generic phrase is provided which consists of the OHT title followed by 'other', i.e. &lt;OHT title&gt;, other.</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xml:space="preserve">- </w:t>
            </w:r>
            <w:r>
              <w:rPr>
                <w:rFonts w:ascii="Arial"/>
                <w:sz w:val="16"/>
              </w:rPr>
              <w:t>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Select the appropriate type of information, e.g. ' experimental study', ' experimental </w:t>
            </w:r>
            <w:r>
              <w:rPr>
                <w:rFonts w:ascii="Arial"/>
                <w:sz w:val="16"/>
              </w:rPr>
              <w:t>study planned' or, if alternatives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r>
            <w:r>
              <w:rPr>
                <w:rFonts w:ascii="Arial"/>
                <w:sz w:val="16"/>
              </w:rP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w:t>
            </w:r>
            <w:r>
              <w:rPr>
                <w:rFonts w:ascii="Arial"/>
                <w:sz w:val="16"/>
              </w:rPr>
              <w:t>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w:t>
            </w:r>
            <w:r>
              <w:rPr>
                <w:rFonts w:ascii="Arial"/>
                <w:sz w:val="16"/>
              </w:rPr>
              <w:t>ead-across, follow the instructions related to the relevant legislation, for instance as to whether the (robust) study summary should be entered in a separate data set defined for the read-across (source) substance and referenced in the target substance da</w:t>
            </w:r>
            <w:r>
              <w:rPr>
                <w:rFonts w:ascii="Arial"/>
                <w:sz w:val="16"/>
              </w:rPr>
              <w:t>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 xml:space="preserve">much information </w:t>
            </w:r>
            <w:r>
              <w:rPr>
                <w:rFonts w:ascii="Arial"/>
                <w:sz w:val="16"/>
              </w:rPr>
              <w:t>as possible on the planned study in order to support the evaluation of the proposal. Typically, this would include at least the test guideline, information on the test material, the species and the route of administration in the corresponding distinct fiel</w:t>
            </w:r>
            <w:r>
              <w:rPr>
                <w:rFonts w:ascii="Arial"/>
                <w:sz w:val="16"/>
              </w:rPr>
              <w:t>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Adequacy o</w:t>
            </w:r>
            <w:r>
              <w:rPr>
                <w:rFonts w:ascii="Arial"/>
                <w:sz w:val="16"/>
              </w:rPr>
              <w:t>f study</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Indicate the adequacy of a (robust) study summary in terms of usefulness</w:t>
            </w:r>
            <w:r>
              <w:rPr>
                <w:rFonts w:ascii="Arial"/>
                <w:sz w:val="16"/>
              </w:rPr>
              <w:t xml:space="preserve">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Ex</w:t>
            </w:r>
            <w:r>
              <w:rPr>
                <w:rFonts w:ascii="Arial"/>
                <w:sz w:val="16"/>
              </w:rPr>
              <w:t xml:space="preserve">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w:t>
            </w:r>
            <w:r>
              <w:rPr>
                <w:rFonts w:ascii="Arial"/>
                <w:sz w:val="16"/>
              </w:rPr>
              <w:t xml:space="preserve">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w:t>
            </w:r>
            <w:r>
              <w:rPr>
                <w:rFonts w:ascii="Arial"/>
                <w:sz w:val="16"/>
              </w:rPr>
              <w:t xml:space="preserve">dpoint-related,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w:t>
            </w:r>
            <w:r>
              <w:rPr>
                <w:rFonts w:ascii="Arial"/>
                <w:sz w:val="16"/>
              </w:rPr>
              <w:t>ethodological deficiencies:  study that demonstrates a higher concern than the key study/ies, but is not used as key study because of flaws in the methodology or documentation. This phrase should be selected for justifying why a potentially critical result</w:t>
            </w:r>
            <w:r>
              <w:rPr>
                <w:rFonts w:ascii="Arial"/>
                <w:sz w:val="16"/>
              </w:rPr>
              <w:t xml:space="preserve">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xml:space="preserve">- other information: any other non-relevant information </w:t>
            </w:r>
            <w:r>
              <w:rPr>
                <w:rFonts w:ascii="Arial"/>
                <w:sz w:val="16"/>
              </w:rPr>
              <w:t>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Check box</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w:t>
            </w:r>
            <w:r>
              <w:rPr>
                <w:rFonts w:ascii="Arial"/>
                <w:sz w:val="16"/>
              </w:rPr>
              <w:t>Study Summary' is actually used only to describe the technical content of a very detailed summary of an experimental study or of any other relevant information. It is a priori no synonym with the term 'Key study', although a key study should usually be sub</w:t>
            </w:r>
            <w:r>
              <w:rPr>
                <w:rFonts w:ascii="Arial"/>
                <w:sz w:val="16"/>
              </w:rPr>
              <w:t>mitted in the form of Robust Study Summary. However, a Robust Summary may also be useful for other adequate studies that are considered supportive of the key study or even for inadequate studies if they can be used for a weight-of-evidence analysis. Also f</w:t>
            </w:r>
            <w:r>
              <w:rPr>
                <w:rFonts w:ascii="Arial"/>
                <w:sz w:val="16"/>
              </w:rPr>
              <w:t xml:space="preserve">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how to use </w:t>
            </w:r>
            <w:r>
              <w:rPr>
                <w:rFonts w:ascii="Arial"/>
                <w:sz w:val="16"/>
              </w:rPr>
              <w:t>this field.</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xml:space="preserve">- the study does not </w:t>
            </w:r>
            <w:r>
              <w:rPr>
                <w:rFonts w:ascii="Arial"/>
                <w:sz w:val="16"/>
              </w:rPr>
              <w:t>need to be conducted for explosives - [study technically not feasible]</w:t>
            </w:r>
            <w:r>
              <w:rPr>
                <w:rFonts w:ascii="Arial"/>
                <w:sz w:val="16"/>
              </w:rPr>
              <w:br/>
              <w:t>- the study does not need to be conducted because the substance is pyrophoric - [study technically not feasible]</w:t>
            </w:r>
            <w:r>
              <w:rPr>
                <w:rFonts w:ascii="Arial"/>
                <w:sz w:val="16"/>
              </w:rPr>
              <w:br/>
              <w:t>- the study does not need to be conducted because the substance is a liq</w:t>
            </w:r>
            <w:r>
              <w:rPr>
                <w:rFonts w:ascii="Arial"/>
                <w:sz w:val="16"/>
              </w:rPr>
              <w:t>uid non flammable in air, e.g. no flash point up to 200</w:t>
            </w:r>
            <w:r>
              <w:rPr>
                <w:rFonts w:ascii="Arial"/>
                <w:sz w:val="16"/>
              </w:rPr>
              <w:t>°</w:t>
            </w:r>
            <w:r>
              <w:rPr>
                <w:rFonts w:ascii="Arial"/>
                <w:sz w:val="16"/>
              </w:rPr>
              <w:t>C - [study scientifically not necessary / other information available]</w:t>
            </w:r>
            <w:r>
              <w:rPr>
                <w:rFonts w:ascii="Arial"/>
                <w:sz w:val="16"/>
              </w:rPr>
              <w:br/>
              <w:t>- the study does not need to be conducted because the substance is a gas having no flammable range - [study scientifically not ne</w:t>
            </w:r>
            <w:r>
              <w:rPr>
                <w:rFonts w:ascii="Arial"/>
                <w:sz w:val="16"/>
              </w:rPr>
              <w:t>cessary / other information available]</w:t>
            </w:r>
            <w:r>
              <w:rPr>
                <w:rFonts w:ascii="Arial"/>
                <w:sz w:val="16"/>
              </w:rPr>
              <w:br/>
              <w:t>- the study does not need to be conducted because the substance is a solid having a melting point &lt;= 160</w:t>
            </w:r>
            <w:r>
              <w:rPr>
                <w:rFonts w:ascii="Arial"/>
                <w:sz w:val="16"/>
              </w:rPr>
              <w:t>°</w:t>
            </w:r>
            <w:r>
              <w:rPr>
                <w:rFonts w:ascii="Arial"/>
                <w:sz w:val="16"/>
              </w:rPr>
              <w:t>C - [study scientifically not necessary / other information available]</w:t>
            </w:r>
            <w:r>
              <w:rPr>
                <w:rFonts w:ascii="Arial"/>
                <w:sz w:val="16"/>
              </w:rPr>
              <w:br/>
              <w:t>- the study does not need to be conducted</w:t>
            </w:r>
            <w:r>
              <w:rPr>
                <w:rFonts w:ascii="Arial"/>
                <w:sz w:val="16"/>
              </w:rPr>
              <w:t xml:space="preserve"> for liquid organic peroxides, because the vapours decompose during the execution of the test - [study technically not feasible]</w:t>
            </w:r>
            <w:r>
              <w:rPr>
                <w:rFonts w:ascii="Arial"/>
                <w:sz w:val="16"/>
              </w:rPr>
              <w:br/>
              <w:t>- the study does not need to be conducted for liquid self-reactive substances, because the vapours decompose during the executi</w:t>
            </w:r>
            <w:r>
              <w:rPr>
                <w:rFonts w:ascii="Arial"/>
                <w:sz w:val="16"/>
              </w:rPr>
              <w:t>on of the test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In addition to the more generic justification selected in the preceding field 'Data waiving', it is highly recommended to provide a detailed justification. To this end you can either select one or </w:t>
            </w:r>
            <w:r>
              <w:rPr>
                <w:rFonts w:ascii="Arial"/>
                <w:sz w:val="16"/>
              </w:rPr>
              <w:t>multiple specific standard phrase(s) if it/they give an appropriate rationale of the description given in the preceding field 'Data waiving' or 'other:' and enter free text. Additional specific explanations should be provided if the pre-defined phrase(s) d</w:t>
            </w:r>
            <w:r>
              <w:rPr>
                <w:rFonts w:ascii="Arial"/>
                <w:sz w:val="16"/>
              </w:rPr>
              <w:t>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w:t>
            </w:r>
            <w:r>
              <w:rPr>
                <w:rFonts w:ascii="Arial"/>
                <w:sz w:val="16"/>
              </w:rPr>
              <w:t>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w:t>
            </w:r>
            <w:r>
              <w:rPr>
                <w:rFonts w:ascii="Arial"/>
                <w:sz w:val="16"/>
              </w:rPr>
              <w:t>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suitable phra</w:t>
            </w:r>
            <w:r>
              <w:rPr>
                <w:rFonts w:ascii="Arial"/>
                <w:sz w:val="16"/>
              </w:rPr>
              <w:t>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w:t>
            </w:r>
            <w:r>
              <w:rPr>
                <w:rFonts w:ascii="Arial"/>
                <w:sz w:val="16"/>
              </w:rPr>
              <w:t>ty', 'Rationale for reliability'.</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in addition to field </w:t>
            </w:r>
            <w:r>
              <w:rPr>
                <w:rFonts w:ascii="Arial"/>
                <w:sz w:val="16"/>
              </w:rPr>
              <w:t>'Justification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w:t>
            </w:r>
            <w:r>
              <w:rPr>
                <w:rFonts w:ascii="Arial"/>
                <w:sz w:val="16"/>
              </w:rPr>
              <w:t xml:space="preserve"> endpoint for which testing is proposed. Note that for testing proposals addressing testing on vertebrate animals under the REACH Regulation this document will be published on the ECHA website along with the third party consultation on the testing proposal</w:t>
            </w:r>
            <w:r>
              <w:rPr>
                <w:rFonts w:ascii="Arial"/>
                <w:sz w:val="16"/>
              </w:rPr>
              <w:t>(s).]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w:t>
            </w:r>
            <w:r>
              <w:rPr>
                <w:rFonts w:ascii="Arial"/>
                <w:sz w:val="16"/>
              </w:rPr>
              <w:t>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w:t>
            </w:r>
            <w:r>
              <w:rPr>
                <w:rFonts w:ascii="Arial"/>
                <w:sz w:val="16"/>
              </w:rPr>
              <w:t>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w:t>
            </w:r>
            <w:r>
              <w:rPr>
                <w:rFonts w:ascii="Arial"/>
                <w:sz w:val="16"/>
              </w:rPr>
              <w:t xml:space="preserve">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w:t>
            </w:r>
            <w:r>
              <w:rPr>
                <w:rFonts w:ascii="Arial"/>
                <w:sz w:val="16"/>
              </w:rPr>
              <w:t>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w:t>
            </w:r>
            <w:r>
              <w:rPr>
                <w:rFonts w:ascii="Arial"/>
                <w:sz w:val="16"/>
              </w:rPr>
              <w:t>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w:t>
            </w:r>
            <w:r>
              <w:rPr>
                <w:rFonts w:ascii="Arial"/>
                <w:sz w:val="16"/>
              </w:rPr>
              <w:t>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w:t>
            </w:r>
            <w:r>
              <w:rPr>
                <w:rFonts w:ascii="Arial"/>
                <w:sz w:val="16"/>
              </w:rPr>
              <w: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 xml:space="preserve">REPORTING FORMAT FOR THE ANALOGUE </w:t>
            </w:r>
            <w:r>
              <w:rPr>
                <w:rFonts w:ascii="Arial"/>
                <w:sz w:val="16"/>
              </w:rPr>
              <w:t>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r>
            <w:r>
              <w:rPr>
                <w:rFonts w:ascii="Arial"/>
                <w:sz w:val="16"/>
              </w:rP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w:t>
            </w:r>
            <w:r>
              <w:rPr>
                <w:rFonts w:ascii="Arial"/>
                <w:sz w:val="16"/>
              </w:rPr>
              <w:t xml:space="preserve">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w:t>
            </w:r>
            <w:r>
              <w:rPr>
                <w:rFonts w:ascii="Arial"/>
                <w:sz w:val="16"/>
              </w:rPr>
              <w: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w:t>
            </w:r>
            <w:r>
              <w:rPr>
                <w:rFonts w:ascii="Arial"/>
                <w:sz w:val="16"/>
              </w:rPr>
              <w:t xml:space="preserve">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w:t>
            </w:r>
            <w:r>
              <w:rPr>
                <w:rFonts w:ascii="Arial"/>
                <w:sz w:val="16"/>
              </w:rPr>
              <w:t>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lastRenderedPageBreak/>
              <w:t>This field can be used for enteri</w:t>
            </w:r>
            <w:r>
              <w:rPr>
                <w:rFonts w:ascii="Arial"/>
                <w:sz w:val="16"/>
              </w:rPr>
              <w:t xml:space="preserve">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w:t>
            </w:r>
            <w:r>
              <w:rPr>
                <w:rFonts w:ascii="Arial"/>
                <w:sz w:val="16"/>
              </w:rPr>
              <w:t xml:space="preserve">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 xml:space="preserve">This field should be </w:t>
            </w:r>
            <w:r>
              <w:rPr>
                <w:rFonts w:ascii="Arial"/>
                <w:sz w:val="16"/>
              </w:rPr>
              <w:t>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w:t>
            </w:r>
            <w:r>
              <w:rPr>
                <w:rFonts w:ascii="Arial"/>
                <w:sz w:val="16"/>
              </w:rPr>
              <w: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 xml:space="preserve">Based on this freetext template details </w:t>
            </w:r>
            <w:r>
              <w:rPr>
                <w:rFonts w:ascii="Arial"/>
                <w:sz w:val="16"/>
              </w:rPr>
              <w:t>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w:t>
            </w:r>
            <w:r>
              <w:rPr>
                <w:rFonts w:ascii="Arial"/>
                <w:sz w:val="16"/>
              </w:rPr>
              <w:t xml:space="preserv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w:t>
            </w:r>
            <w:r>
              <w:rPr>
                <w:rFonts w:ascii="Arial"/>
                <w:sz w:val="16"/>
              </w:rPr>
              <w:t>ustification for read-across, particularly if it is endpoint-specific.</w:t>
            </w:r>
            <w:r>
              <w:rPr>
                <w:rFonts w:ascii="Arial"/>
                <w:sz w:val="16"/>
              </w:rPr>
              <w:br/>
            </w:r>
            <w:r>
              <w:rPr>
                <w:rFonts w:ascii="Arial"/>
                <w:sz w:val="16"/>
              </w:rPr>
              <w:br/>
              <w:t xml:space="preserve">Please note: Any information that can be re-used for several study summaries can be entered once and then assigned to the relevant studies using either the 'Attached justification' or </w:t>
            </w:r>
            <w:r>
              <w:rPr>
                <w:rFonts w:ascii="Arial"/>
                <w:sz w:val="16"/>
              </w:rPr>
              <w:t>'Cross-reference' feature.</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w:t>
            </w:r>
            <w:r>
              <w:rPr>
                <w:rFonts w:ascii="Arial"/>
                <w:sz w:val="16"/>
              </w:rPr>
              <w:t>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w:t>
            </w:r>
            <w:r>
              <w:rPr>
                <w:rFonts w:ascii="Arial"/>
                <w:sz w:val="16"/>
              </w:rPr>
              <w:t>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Indicate the reason for / purpose of the attached document. Select the relevant item from the picklist or, if none applies, select 'justificat</w:t>
            </w:r>
            <w:r>
              <w:rPr>
                <w:rFonts w:ascii="Arial"/>
                <w:sz w:val="16"/>
              </w:rPr>
              <w: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 xml:space="preserve">The cross-reference feature can be used to refer to related information that is provided in another record of the </w:t>
            </w:r>
            <w:r>
              <w:rPr>
                <w:rFonts w:ascii="Arial"/>
                <w:sz w:val="16"/>
              </w:rPr>
              <w:t>dataset. This can be done either by entering just free text in the 'Remarks' field or by creating a link to the relevant record. The field 'Reason / purpose' allows for selecting a standard reason from the picklist and optionally to add free text explanati</w:t>
            </w:r>
            <w:r>
              <w:rPr>
                <w:rFonts w:ascii="Arial"/>
                <w:sz w:val="16"/>
              </w:rPr>
              <w:t>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 xml:space="preserve">Picklist </w:t>
            </w:r>
            <w:r>
              <w:rPr>
                <w:rFonts w:ascii="Arial"/>
                <w:b/>
                <w:sz w:val="16"/>
              </w:rPr>
              <w:t>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r>
            <w:r>
              <w:rPr>
                <w:rFonts w:ascii="Arial"/>
                <w:sz w:val="16"/>
              </w:rP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w:t>
            </w:r>
            <w:r>
              <w:rPr>
                <w:rFonts w:ascii="Arial"/>
                <w:sz w:val="16"/>
              </w:rPr>
              <w:t>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w:t>
            </w:r>
            <w:r>
              <w:rPr>
                <w:rFonts w:ascii="Arial"/>
                <w:sz w:val="16"/>
              </w:rPr>
              <w:t>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w:t>
            </w:r>
            <w:r>
              <w:rPr>
                <w:rFonts w:ascii="Arial"/>
                <w:sz w:val="16"/>
              </w:rPr>
              <w:t>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w:t>
            </w:r>
            <w:r>
              <w:rPr>
                <w:rFonts w:ascii="Arial"/>
                <w:sz w:val="16"/>
              </w:rPr>
              <w:t>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w:t>
            </w:r>
            <w:r>
              <w:rPr>
                <w:rFonts w:ascii="Arial"/>
                <w:sz w:val="16"/>
              </w:rPr>
              <w:t>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 relevant in the interpr</w:t>
            </w:r>
            <w:r>
              <w:rPr>
                <w:rFonts w:ascii="Arial"/>
                <w:sz w:val="16"/>
              </w:rPr>
              <w:t xml:space="preserve">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4D2B9A">
            <w:r>
              <w:rPr>
                <w:rFonts w:ascii="Arial"/>
                <w:b/>
                <w:sz w:val="16"/>
              </w:rPr>
              <w:t>Cross-reference:</w:t>
            </w:r>
            <w:r>
              <w:rPr>
                <w:rFonts w:ascii="Arial"/>
                <w:b/>
                <w:sz w:val="16"/>
              </w:rPr>
              <w:br/>
            </w:r>
            <w:r>
              <w:rPr>
                <w:rFonts w:ascii="Arial"/>
                <w:sz w:val="16"/>
              </w:rPr>
              <w:t>AllSummariesAndRecords</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01B" w:rsidRDefault="004D2B9A">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01B" w:rsidRDefault="004D2B9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w:t>
            </w:r>
            <w:r>
              <w:rPr>
                <w:rFonts w:ascii="Arial"/>
                <w:sz w:val="16"/>
              </w:rPr>
              <w:t xml:space="preserv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w:t>
            </w:r>
            <w:r>
              <w:rPr>
                <w:rFonts w:ascii="Arial"/>
                <w:sz w:val="16"/>
              </w:rPr>
              <w:t>e first position, if there are more than one reference to be cited. Copy this block of fields for specifying any other references related to this record (e.g. report of a preliminary study or other documentation). If results of a study report have been pub</w:t>
            </w:r>
            <w:r>
              <w:rPr>
                <w:rFonts w:ascii="Arial"/>
                <w:sz w:val="16"/>
              </w:rPr>
              <w:t>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data submitter is data owner</w:t>
            </w:r>
            <w:r>
              <w:rPr>
                <w:rFonts w:ascii="Arial"/>
                <w:sz w:val="16"/>
              </w:rPr>
              <w:br/>
              <w:t>- data submitter has Letter of Ac</w:t>
            </w:r>
            <w:r>
              <w:rPr>
                <w:rFonts w:ascii="Arial"/>
                <w:sz w:val="16"/>
              </w:rPr>
              <w:t>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Select appropriate indication for data access. Enter 'Not applicable' if the summary consists of information that is commonly accessible </w:t>
            </w:r>
            <w:r>
              <w:rPr>
                <w:rFonts w:ascii="Arial"/>
                <w:sz w:val="16"/>
              </w:rPr>
              <w:t>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w:t>
            </w:r>
            <w:r>
              <w:rPr>
                <w:rFonts w:ascii="Arial"/>
                <w:sz w:val="16"/>
              </w:rPr>
              <w:t>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yes</w:t>
            </w:r>
            <w:r>
              <w:rPr>
                <w:rFonts w:ascii="Arial"/>
                <w:sz w:val="16"/>
              </w:rPr>
              <w:br/>
              <w:t>- yes, but wi</w:t>
            </w:r>
            <w:r>
              <w:rPr>
                <w:rFonts w:ascii="Arial"/>
                <w:sz w:val="16"/>
              </w:rPr>
              <w:t>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Indicate as appropriate. Note: 'yes' should be selected only if 'Data submitter is data owner' or 'Data submitter has Letter of Access'. Options 'yes, but willing to share' or 'yes, but not willing to share' m</w:t>
            </w:r>
            <w:r>
              <w:rPr>
                <w:rFonts w:ascii="Arial"/>
                <w:sz w:val="16"/>
              </w:rPr>
              <w:t>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 as appropriate, i.e. justif</w:t>
            </w:r>
            <w:r>
              <w:rPr>
                <w:rFonts w:ascii="Arial"/>
                <w:sz w:val="16"/>
              </w:rPr>
              <w:t xml:space="preserve">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01B" w:rsidRDefault="004D2B9A">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01B" w:rsidRDefault="004D2B9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Picklist values:</w:t>
            </w:r>
            <w:r>
              <w:rPr>
                <w:rFonts w:ascii="Arial"/>
                <w:sz w:val="16"/>
              </w:rPr>
              <w:br/>
              <w:t xml:space="preserve">- EU Method A.15 (Auto-Ignition Temperature </w:t>
            </w:r>
            <w:r>
              <w:rPr>
                <w:rFonts w:ascii="Arial"/>
                <w:sz w:val="16"/>
              </w:rPr>
              <w:t>(Liquids and Gases))</w:t>
            </w:r>
            <w:r>
              <w:rPr>
                <w:rFonts w:ascii="Arial"/>
                <w:sz w:val="16"/>
              </w:rPr>
              <w:br/>
              <w:t xml:space="preserve">- EU Method A.16 (Relative Self-Ignition </w:t>
            </w:r>
            <w:r>
              <w:rPr>
                <w:rFonts w:ascii="Arial"/>
                <w:sz w:val="16"/>
              </w:rPr>
              <w:lastRenderedPageBreak/>
              <w:t>Temperature for Solids)</w:t>
            </w:r>
            <w:r>
              <w:rPr>
                <w:rFonts w:ascii="Arial"/>
                <w:sz w:val="16"/>
              </w:rPr>
              <w:br/>
              <w:t>- AFNOR: NF T 20-037 - [withdrawn]</w:t>
            </w:r>
            <w:r>
              <w:rPr>
                <w:rFonts w:ascii="Arial"/>
                <w:sz w:val="16"/>
              </w:rPr>
              <w:br/>
              <w:t>- ASTM E659 (Standard test method for autoignition temperature of liquid chemicals)</w:t>
            </w:r>
            <w:r>
              <w:rPr>
                <w:rFonts w:ascii="Arial"/>
                <w:sz w:val="16"/>
              </w:rPr>
              <w:br/>
              <w:t xml:space="preserve">- BS-4056 (Method of test for ignition temperature </w:t>
            </w:r>
            <w:r>
              <w:rPr>
                <w:rFonts w:ascii="Arial"/>
                <w:sz w:val="16"/>
              </w:rPr>
              <w:t>of gases and vapours) - [before 1989]</w:t>
            </w:r>
            <w:r>
              <w:rPr>
                <w:rFonts w:ascii="Arial"/>
                <w:sz w:val="16"/>
              </w:rPr>
              <w:br/>
              <w:t>- BS 5501-1 (Electrical apparatus for potentially explosive atmospheres - General requirements) - [before 1993]</w:t>
            </w:r>
            <w:r>
              <w:rPr>
                <w:rFonts w:ascii="Arial"/>
                <w:sz w:val="16"/>
              </w:rPr>
              <w:br/>
              <w:t>- BS 50014 (Electrical apparatus for potentially explosive atmospheres - General requirements) - [before 2</w:t>
            </w:r>
            <w:r>
              <w:rPr>
                <w:rFonts w:ascii="Arial"/>
                <w:sz w:val="16"/>
              </w:rPr>
              <w:t>004]</w:t>
            </w:r>
            <w:r>
              <w:rPr>
                <w:rFonts w:ascii="Arial"/>
                <w:sz w:val="16"/>
              </w:rPr>
              <w:br/>
              <w:t>- BS 50020 (Electrical apparatus for potentially explosive atmospheres - Intrinsic safety)</w:t>
            </w:r>
            <w:r>
              <w:rPr>
                <w:rFonts w:ascii="Arial"/>
                <w:sz w:val="16"/>
              </w:rPr>
              <w:br/>
              <w:t>- BS 60079 (Explosive atmospheres. Equipment. General requirements)</w:t>
            </w:r>
            <w:r>
              <w:rPr>
                <w:rFonts w:ascii="Arial"/>
                <w:sz w:val="16"/>
              </w:rPr>
              <w:br/>
              <w:t>- DIN EN 14522, Method P (Determination of the auto ignition temperature of gases and vapour</w:t>
            </w:r>
            <w:r>
              <w:rPr>
                <w:rFonts w:ascii="Arial"/>
                <w:sz w:val="16"/>
              </w:rPr>
              <w:t>s)</w:t>
            </w:r>
            <w:r>
              <w:rPr>
                <w:rFonts w:ascii="Arial"/>
                <w:sz w:val="16"/>
              </w:rPr>
              <w:br/>
              <w:t>- DIN EN 14522, Method S (Determination of the auto ignition temperature of gases and vapours)</w:t>
            </w:r>
            <w:r>
              <w:rPr>
                <w:rFonts w:ascii="Arial"/>
                <w:sz w:val="16"/>
              </w:rPr>
              <w:br/>
              <w:t>- DIN EN 15188 (Determination of the spontaneous ignition behaviour of dust accumulations)</w:t>
            </w:r>
            <w:r>
              <w:rPr>
                <w:rFonts w:ascii="Arial"/>
                <w:sz w:val="16"/>
              </w:rPr>
              <w:br/>
              <w:t>- DIN 51794 (Testing of mineral oil hydrocarbons - Determination of</w:t>
            </w:r>
            <w:r>
              <w:rPr>
                <w:rFonts w:ascii="Arial"/>
                <w:sz w:val="16"/>
              </w:rPr>
              <w:t xml:space="preserve"> ignition temperature)</w:t>
            </w:r>
            <w:r>
              <w:rPr>
                <w:rFonts w:ascii="Arial"/>
                <w:sz w:val="16"/>
              </w:rPr>
              <w:br/>
              <w:t>- IEC 60079-4 (Electrical apparatus for explosive gas atmospheres. Part 4: Method of test for ignition temperature) - [withdrawn]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lastRenderedPageBreak/>
              <w:t>Select the applicable test guideline, e.g. 'OECD Guideline xxx'. If the test guideline used is</w:t>
            </w:r>
            <w:r>
              <w:rPr>
                <w:rFonts w:ascii="Arial"/>
                <w:sz w:val="16"/>
              </w:rPr>
              <w:t xml:space="preserve">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w:t>
            </w:r>
            <w:r>
              <w:rPr>
                <w:rFonts w:ascii="Arial"/>
                <w:sz w:val="16"/>
              </w:rPr>
              <w:t>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w:t>
            </w:r>
            <w:r>
              <w:rPr>
                <w:rFonts w:ascii="Arial"/>
                <w:sz w:val="16"/>
              </w:rPr>
              <w:t>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4D2B9A">
            <w:r>
              <w:rPr>
                <w:rFonts w:ascii="Arial"/>
                <w:b/>
                <w:sz w:val="16"/>
              </w:rPr>
              <w:lastRenderedPageBreak/>
              <w:t>Guidance for field condition:</w:t>
            </w:r>
            <w:r>
              <w:rPr>
                <w:rFonts w:ascii="Arial"/>
                <w:b/>
                <w:sz w:val="16"/>
              </w:rPr>
              <w:br/>
            </w:r>
            <w:r>
              <w:rPr>
                <w:rFonts w:ascii="Arial"/>
                <w:sz w:val="16"/>
              </w:rPr>
              <w:t>Condition: Field active only if 'Qualif</w:t>
            </w:r>
            <w:r>
              <w:rPr>
                <w:rFonts w:ascii="Arial"/>
                <w:sz w:val="16"/>
              </w:rPr>
              <w:t xml:space="preserve">ier' is not 'no </w:t>
            </w:r>
            <w:r>
              <w:rPr>
                <w:rFonts w:ascii="Arial"/>
                <w:sz w:val="16"/>
              </w:rPr>
              <w:lastRenderedPageBreak/>
              <w:t>guideline ...'</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w:t>
            </w:r>
            <w:r>
              <w:rPr>
                <w:rFonts w:ascii="Arial"/>
                <w:sz w:val="16"/>
              </w:rPr>
              <w:t xml:space="preserve"> update number and the year of update (For instance, different titles and/or numbers may exist for a given EU test guideline);</w:t>
            </w:r>
            <w:r>
              <w:rPr>
                <w:rFonts w:ascii="Arial"/>
                <w:sz w:val="16"/>
              </w:rPr>
              <w:br/>
            </w:r>
            <w:r>
              <w:rPr>
                <w:rFonts w:ascii="Arial"/>
                <w:sz w:val="16"/>
              </w:rPr>
              <w:br/>
            </w:r>
            <w:r>
              <w:rPr>
                <w:rFonts w:ascii="Arial"/>
                <w:sz w:val="16"/>
              </w:rPr>
              <w:lastRenderedPageBreak/>
              <w:t>- To indicate if the study was performed prior to the adoption of the test guideline specified;</w:t>
            </w:r>
            <w:r>
              <w:rPr>
                <w:rFonts w:ascii="Arial"/>
                <w:sz w:val="16"/>
              </w:rPr>
              <w:br/>
            </w:r>
            <w:r>
              <w:rPr>
                <w:rFonts w:ascii="Arial"/>
                <w:sz w:val="16"/>
              </w:rPr>
              <w:br/>
              <w:t>- To indicate if the methodolog</w:t>
            </w:r>
            <w:r>
              <w:rPr>
                <w:rFonts w:ascii="Arial"/>
                <w:sz w:val="16"/>
              </w:rPr>
              <w:t>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w:t>
            </w:r>
            <w:r>
              <w:rPr>
                <w:rFonts w:ascii="Arial"/>
                <w:sz w:val="16"/>
              </w:rPr>
              <w:t>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4D2B9A">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 xml:space="preserve">In case a test </w:t>
            </w:r>
            <w:r>
              <w:rPr>
                <w:rFonts w:ascii="Arial"/>
                <w:sz w:val="16"/>
              </w:rPr>
              <w:t>guideline or other standardised method was used, indicate if there are any deviations. Briefly state relevant deviations in the supplementary remarks field (e.g. 'other test system used', 'different exposure duration'); details should be described in the r</w:t>
            </w:r>
            <w:r>
              <w:rPr>
                <w:rFonts w:ascii="Arial"/>
                <w:sz w:val="16"/>
              </w:rPr>
              <w:t>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4D2B9A">
            <w:r>
              <w:rPr>
                <w:rFonts w:ascii="Arial"/>
                <w:b/>
                <w:sz w:val="16"/>
              </w:rPr>
              <w:t>Guidance for field condition:</w:t>
            </w:r>
            <w:r>
              <w:rPr>
                <w:rFonts w:ascii="Arial"/>
                <w:b/>
                <w:sz w:val="16"/>
              </w:rPr>
              <w:br/>
            </w:r>
            <w:r>
              <w:rPr>
                <w:rFonts w:ascii="Arial"/>
                <w:sz w:val="16"/>
              </w:rPr>
              <w:t>Condition: Field active only if 'Qualifier' is not 'no guideline ...'</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w:t>
            </w:r>
            <w:r>
              <w:rPr>
                <w:rFonts w:ascii="Arial"/>
                <w:sz w:val="16"/>
              </w:rPr>
              <w:t>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w:t>
            </w:r>
            <w:r>
              <w:rPr>
                <w:rFonts w:ascii="Arial"/>
                <w:sz w:val="16"/>
              </w:rPr>
              <w:t>s-reference'</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w:t>
            </w:r>
            <w:r>
              <w:rPr>
                <w:rFonts w:ascii="Arial"/>
                <w:sz w:val="16"/>
              </w:rPr>
              <w:lastRenderedPageBreak/>
              <w:t>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01B" w:rsidRDefault="004D2B9A">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01B" w:rsidRDefault="004D2B9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Select the appropriate Test Material Information (TMI) record. If not available in the repository, create a new one. You may also copy (clone) an existing TMI record, edit it</w:t>
            </w:r>
            <w:r>
              <w:rPr>
                <w:rFonts w:ascii="Arial"/>
                <w:sz w:val="16"/>
              </w:rPr>
              <w:t xml:space="preserve">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w:t>
            </w:r>
            <w:r>
              <w:rPr>
                <w:rFonts w:ascii="Arial"/>
                <w:sz w:val="16"/>
              </w:rPr>
              <w:t xml:space="preserv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t>Cross-reference:</w:t>
            </w:r>
            <w:r>
              <w:rPr>
                <w:rFonts w:ascii="Arial"/>
                <w:b/>
                <w:sz w:val="16"/>
              </w:rPr>
              <w:br/>
            </w:r>
            <w:r>
              <w:rPr>
                <w:rFonts w:ascii="Arial"/>
                <w:sz w:val="16"/>
              </w:rPr>
              <w:t>TEST_MATERIAL_INFORMATION</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Select additional Test materi</w:t>
            </w:r>
            <w:r>
              <w:rPr>
                <w:rFonts w:ascii="Arial"/>
                <w:sz w:val="16"/>
              </w:rPr>
              <w:t>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08201B" w:rsidRDefault="004D2B9A">
            <w:r>
              <w:rPr>
                <w:rFonts w:ascii="Arial"/>
                <w:b/>
                <w:sz w:val="16"/>
              </w:rPr>
              <w:t>Cross-reference:</w:t>
            </w:r>
            <w:r>
              <w:rPr>
                <w:rFonts w:ascii="Arial"/>
                <w:b/>
                <w:sz w:val="16"/>
              </w:rPr>
              <w:br/>
            </w:r>
            <w:r>
              <w:rPr>
                <w:rFonts w:ascii="Arial"/>
                <w:sz w:val="16"/>
              </w:rPr>
              <w:t>TEST_MATERIAL_INFORMATION</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Specific</w:t>
            </w:r>
            <w:r>
              <w:rPr>
                <w:rFonts w:ascii="Arial"/>
                <w:sz w:val="16"/>
              </w:rPr>
              <w:t xml:space="preserve">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information on contaminants, isomers, </w:t>
            </w:r>
            <w:r>
              <w:rPr>
                <w:rFonts w:ascii="Arial"/>
                <w:sz w:val="16"/>
              </w:rPr>
              <w:t>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r>
            <w:r>
              <w:rPr>
                <w:rFonts w:ascii="Arial"/>
                <w:sz w:val="16"/>
              </w:rP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w:t>
            </w:r>
            <w:r>
              <w:rPr>
                <w:rFonts w:ascii="Arial"/>
                <w:sz w:val="16"/>
              </w:rPr>
              <w:t>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w:t>
            </w:r>
            <w:r>
              <w:rPr>
                <w:rFonts w:ascii="Arial"/>
                <w:sz w:val="16"/>
              </w:rPr>
              <w:t>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lastRenderedPageBreak/>
              <w:br/>
              <w:t>FORM AS APPLIE</w:t>
            </w:r>
            <w:r>
              <w:rPr>
                <w:rFonts w:ascii="Arial"/>
                <w:sz w:val="16"/>
              </w:rPr>
              <w:t>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w:t>
            </w:r>
            <w:r>
              <w:rPr>
                <w:rFonts w:ascii="Arial"/>
                <w:sz w:val="16"/>
              </w:rPr>
              <w:t>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w:t>
            </w:r>
            <w:r>
              <w:rPr>
                <w:rFonts w:ascii="Arial"/>
                <w:sz w:val="16"/>
              </w:rPr>
              <w:t>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w:t>
            </w:r>
            <w:r>
              <w:rPr>
                <w:rFonts w:ascii="Arial"/>
                <w:sz w:val="16"/>
              </w:rPr>
              <w:t>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lastRenderedPageBreak/>
              <w:t>Use this field for reporting specific details on the test material as used for the study if they diffe</w:t>
            </w:r>
            <w:r>
              <w:rPr>
                <w:rFonts w:ascii="Arial"/>
                <w:sz w:val="16"/>
              </w:rPr>
              <w:t>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w:t>
            </w:r>
            <w:r>
              <w:rPr>
                <w:rFonts w:ascii="Arial"/>
                <w:sz w:val="16"/>
              </w:rPr>
              <w:t>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w:t>
            </w:r>
            <w:r>
              <w:rPr>
                <w:rFonts w:ascii="Arial"/>
                <w:sz w:val="16"/>
              </w:rPr>
              <w:t xml:space="preserv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xml:space="preserve">- </w:t>
            </w:r>
            <w:r>
              <w:rPr>
                <w:rFonts w:ascii="Arial"/>
                <w:sz w:val="16"/>
              </w:rPr>
              <w:t>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lastRenderedPageBreak/>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w:t>
            </w:r>
            <w:r>
              <w:rPr>
                <w:rFonts w:ascii="Arial"/>
                <w:sz w:val="16"/>
              </w:rPr>
              <w:t>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w:t>
            </w:r>
            <w:r>
              <w:rPr>
                <w:rFonts w:ascii="Arial"/>
                <w:sz w:val="16"/>
              </w:rPr>
              <w:t>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xml:space="preserve">- Final preparation of a solid (e.g. stock crystals ground to fine powder </w:t>
            </w:r>
            <w:r>
              <w:rPr>
                <w:rFonts w:ascii="Arial"/>
                <w:sz w:val="16"/>
              </w:rPr>
              <w:t>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of particles or particle </w:t>
            </w:r>
            <w:r>
              <w:rPr>
                <w:rFonts w:ascii="Arial"/>
                <w:sz w:val="16"/>
              </w:rPr>
              <w:t>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w:t>
            </w:r>
            <w:r>
              <w:rPr>
                <w:rFonts w:ascii="Arial"/>
                <w:sz w:val="16"/>
              </w:rPr>
              <w:t xml:space="preserve">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template</w:t>
            </w:r>
            <w:r>
              <w:rPr>
                <w:rFonts w:ascii="Arial"/>
                <w:sz w:val="16"/>
              </w:rPr>
              <w:br/>
            </w:r>
            <w:r>
              <w:rPr>
                <w:rFonts w:ascii="Arial"/>
                <w:sz w:val="16"/>
              </w:rPr>
              <w:br/>
              <w:t xml:space="preserve">Display: </w:t>
            </w:r>
            <w:r>
              <w:rPr>
                <w:rFonts w:ascii="Arial"/>
                <w:sz w:val="16"/>
              </w:rPr>
              <w:t>Basic (Confidential)</w:t>
            </w:r>
          </w:p>
        </w:tc>
        <w:tc>
          <w:tcPr>
            <w:tcW w:w="3686" w:type="dxa"/>
            <w:tcBorders>
              <w:top w:val="outset" w:sz="6" w:space="0" w:color="auto"/>
              <w:left w:val="outset" w:sz="6" w:space="0" w:color="auto"/>
              <w:bottom w:val="outset" w:sz="6" w:space="0" w:color="FFFFFF"/>
              <w:right w:val="outset" w:sz="6" w:space="0" w:color="auto"/>
            </w:tcBorders>
          </w:tcPr>
          <w:p w:rsidR="0008201B" w:rsidRDefault="004D2B9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w:t>
            </w:r>
            <w:r>
              <w:rPr>
                <w:rFonts w:ascii="Arial"/>
                <w:sz w:val="16"/>
              </w:rPr>
              <w:t>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w:t>
            </w:r>
            <w:r>
              <w:rPr>
                <w:rFonts w:ascii="Arial"/>
                <w:sz w:val="16"/>
              </w:rPr>
              <w:t>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w:t>
            </w:r>
            <w:r>
              <w:rPr>
                <w:rFonts w:ascii="Arial"/>
                <w:sz w:val="16"/>
              </w:rPr>
              <w:t>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w:t>
            </w:r>
            <w:r>
              <w:rPr>
                <w:rFonts w:ascii="Arial"/>
                <w:sz w:val="16"/>
              </w:rPr>
              <w:t>tion step (if any):</w:t>
            </w:r>
            <w:r>
              <w:rPr>
                <w:rFonts w:ascii="Arial"/>
                <w:sz w:val="16"/>
              </w:rPr>
              <w:br/>
              <w:t>- Final concentration of a dissolved solid, stock liquid or gel:</w:t>
            </w:r>
            <w:r>
              <w:rPr>
                <w:rFonts w:ascii="Arial"/>
                <w:sz w:val="16"/>
              </w:rPr>
              <w:br/>
              <w:t xml:space="preserve">- Final preparation of a solid (e.g. stock crystals </w:t>
            </w:r>
            <w:r>
              <w:rPr>
                <w:rFonts w:ascii="Arial"/>
                <w:sz w:val="16"/>
              </w:rPr>
              <w:lastRenderedPageBreak/>
              <w:t>ground to fine powder using a mortar and pestle):</w:t>
            </w:r>
            <w:r>
              <w:rPr>
                <w:rFonts w:ascii="Arial"/>
                <w:sz w:val="16"/>
              </w:rPr>
              <w:br/>
            </w:r>
            <w:r>
              <w:rPr>
                <w:rFonts w:ascii="Arial"/>
                <w:sz w:val="16"/>
              </w:rPr>
              <w:br/>
              <w:t>FORM AS APPLIED IN THE TEST (if different from that of starting mate</w:t>
            </w:r>
            <w:r>
              <w:rPr>
                <w:rFonts w:ascii="Arial"/>
                <w:sz w:val="16"/>
              </w:rPr>
              <w:t>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w:t>
            </w:r>
            <w:r>
              <w:rPr>
                <w:rFonts w:ascii="Arial"/>
                <w:sz w:val="16"/>
              </w:rPr>
              <w:t>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w:t>
            </w:r>
            <w:r>
              <w:rPr>
                <w:rFonts w:ascii="Arial"/>
                <w:sz w:val="16"/>
              </w:rPr>
              <w:t>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w:t>
            </w:r>
            <w:r>
              <w:rPr>
                <w:rFonts w:ascii="Arial"/>
                <w:sz w:val="16"/>
              </w:rPr>
              <w:t>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lastRenderedPageBreak/>
              <w:t>Use this field for reporting specific details on the test material as used for the study if they differ from the starting material specified under 'Test mat</w:t>
            </w:r>
            <w:r>
              <w:rPr>
                <w:rFonts w:ascii="Arial"/>
                <w:sz w:val="16"/>
              </w:rPr>
              <w: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w:t>
            </w:r>
            <w:r>
              <w:rPr>
                <w:rFonts w:ascii="Arial"/>
                <w:sz w:val="16"/>
              </w:rPr>
              <w:t>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r>
            <w:r>
              <w:rPr>
                <w:rFonts w:ascii="Arial"/>
                <w:sz w:val="16"/>
              </w:rP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w:t>
            </w:r>
            <w:r>
              <w:rPr>
                <w:rFonts w:ascii="Arial"/>
                <w:sz w:val="16"/>
              </w:rPr>
              <w:t>ion date of radiochemical substance</w:t>
            </w:r>
            <w:r>
              <w:rPr>
                <w:rFonts w:ascii="Arial"/>
                <w:sz w:val="16"/>
              </w:rPr>
              <w:br/>
            </w:r>
            <w:r>
              <w:rPr>
                <w:rFonts w:ascii="Arial"/>
                <w:sz w:val="16"/>
              </w:rPr>
              <w:lastRenderedPageBreak/>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w:t>
            </w:r>
            <w:r>
              <w:rPr>
                <w:rFonts w:ascii="Arial"/>
                <w:sz w:val="16"/>
              </w:rPr>
              <w:t>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w:t>
            </w:r>
            <w:r>
              <w:rPr>
                <w:rFonts w:ascii="Arial"/>
                <w:sz w:val="16"/>
              </w:rPr>
              <w:t>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w:t>
            </w:r>
            <w:r>
              <w:rPr>
                <w:rFonts w:ascii="Arial"/>
                <w:sz w:val="16"/>
              </w:rPr>
              <w:t>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w:t>
            </w:r>
            <w:r>
              <w:rPr>
                <w:rFonts w:ascii="Arial"/>
                <w:sz w:val="16"/>
              </w:rPr>
              <w:t>esticides)</w:t>
            </w:r>
            <w:r>
              <w:rPr>
                <w:rFonts w:ascii="Arial"/>
                <w:sz w:val="16"/>
              </w:rPr>
              <w:br/>
            </w:r>
            <w:r>
              <w:rPr>
                <w:rFonts w:ascii="Arial"/>
                <w:sz w:val="16"/>
              </w:rPr>
              <w:br/>
              <w:t xml:space="preserve">Description of the formulation, e.g. formulated product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01B" w:rsidRDefault="004D2B9A">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01B" w:rsidRDefault="004D2B9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08201B"/>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01B" w:rsidRDefault="004D2B9A">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01B" w:rsidRDefault="004D2B9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Auto-ignition temperature (liquids / gases)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 xml:space="preserve">Enter the auto-ignition temperature for liquids or gases, i.e. the lowest temperature at </w:t>
            </w:r>
            <w:r>
              <w:rPr>
                <w:rFonts w:ascii="Arial"/>
                <w:sz w:val="16"/>
              </w:rPr>
              <w:t xml:space="preserve">which the test substance will ignite in contact with air under the conditions defined in the test method. Also indicate the atmospheric pressure at which it was determined in the respective subfield. If necessary, copy this block of fields for each </w:t>
            </w:r>
            <w:r>
              <w:rPr>
                <w:rFonts w:ascii="Arial"/>
                <w:sz w:val="16"/>
              </w:rPr>
              <w:lastRenderedPageBreak/>
              <w:t>conditi</w:t>
            </w:r>
            <w:r>
              <w:rPr>
                <w:rFonts w:ascii="Arial"/>
                <w:sz w:val="16"/>
              </w:rPr>
              <w:t>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4D2B9A">
            <w:r>
              <w:rPr>
                <w:rFonts w:ascii="Arial"/>
                <w:b/>
                <w:sz w:val="16"/>
              </w:rPr>
              <w:lastRenderedPageBreak/>
              <w:t>Guidance for field condition:</w:t>
            </w:r>
            <w:r>
              <w:rPr>
                <w:rFonts w:ascii="Arial"/>
                <w:b/>
                <w:sz w:val="16"/>
              </w:rPr>
              <w:br/>
            </w:r>
            <w:r>
              <w:rPr>
                <w:rFonts w:ascii="Arial"/>
                <w:sz w:val="16"/>
              </w:rPr>
              <w:t>Condition: Block of fields active only if 'Endpoint' is not  'Relative self-ignition temperature (solids)' or 'Self-ignition of dust'</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 xml:space="preserve">Set this flag for identifying the key </w:t>
            </w:r>
            <w:r>
              <w:rPr>
                <w:rFonts w:ascii="Arial"/>
                <w:sz w:val="16"/>
              </w:rPr>
              <w:t>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Auto-ignition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 xml:space="preserve">Numeric </w:t>
            </w:r>
            <w:r>
              <w:rPr>
                <w:rFonts w:ascii="Arial"/>
                <w:sz w:val="16"/>
              </w:rPr>
              <w:t>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Enter a single numeric value in the first numeric field if you select no qualifier or '&gt;', '&gt;='</w:t>
            </w:r>
            <w:r>
              <w:rPr>
                <w:rFonts w:ascii="Arial"/>
                <w:sz w:val="16"/>
              </w:rPr>
              <w:t xml:space="preserve">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Atm. press.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r>
            <w:r>
              <w:rPr>
                <w:rFonts w:ascii="Arial"/>
                <w:sz w:val="16"/>
              </w:rPr>
              <w:lastRenderedPageBreak/>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lastRenderedPageBreak/>
              <w:t>Enter a single numeric value in the first numeric field if you select no qualifier or '&gt;', '&gt;=' or 'ca.'. Use</w:t>
            </w:r>
            <w:r>
              <w:rPr>
                <w:rFonts w:ascii="Arial"/>
                <w:sz w:val="16"/>
              </w:rPr>
              <w:t xml:space="preserv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Picklist values:</w:t>
            </w:r>
            <w:r>
              <w:rPr>
                <w:rFonts w:ascii="Arial"/>
                <w:sz w:val="16"/>
              </w:rPr>
              <w:br/>
              <w:t>-</w:t>
            </w:r>
            <w:r>
              <w:rPr>
                <w:rFonts w:ascii="Arial"/>
                <w:sz w:val="16"/>
              </w:rPr>
              <w:t xml:space="preserve"> preliminary test</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r>
            <w:r>
              <w:rPr>
                <w:rFonts w:ascii="Arial"/>
                <w:sz w:val="16"/>
              </w:rP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 xml:space="preserve">Auto-ignition temperature </w:t>
            </w:r>
            <w:r>
              <w:rPr>
                <w:rFonts w:ascii="Arial"/>
                <w:b/>
                <w:sz w:val="16"/>
              </w:rPr>
              <w:t>(liquids / gases)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Relative self-ignition temperature (solids)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 xml:space="preserve">Enter the relative self-ignition temperature for solids, i.e. the minimum ambient temperature at which a certain volume </w:t>
            </w:r>
            <w:r>
              <w:rPr>
                <w:rFonts w:ascii="Arial"/>
                <w:sz w:val="16"/>
              </w:rPr>
              <w:t>of a substance will ignite under defined conditions. If necessary, copy this block of fields for each condition.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4D2B9A">
            <w:r>
              <w:rPr>
                <w:rFonts w:ascii="Arial"/>
                <w:b/>
                <w:sz w:val="16"/>
              </w:rPr>
              <w:t>Guidance for field condition:</w:t>
            </w:r>
            <w:r>
              <w:rPr>
                <w:rFonts w:ascii="Arial"/>
                <w:b/>
                <w:sz w:val="16"/>
              </w:rPr>
              <w:br/>
            </w:r>
            <w:r>
              <w:rPr>
                <w:rFonts w:ascii="Arial"/>
                <w:sz w:val="16"/>
              </w:rPr>
              <w:t>Condition: Block of fields active only if 'Endpoint' = 'Relative self-ignition temperature (solids)'</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w:t>
            </w:r>
            <w:r>
              <w:rPr>
                <w:rFonts w:ascii="Arial"/>
                <w:sz w:val="16"/>
              </w:rPr>
              <w:t xml:space="preserv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Relative self-ignition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lastRenderedPageBreak/>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lastRenderedPageBreak/>
              <w:t>Enter a single numeric</w:t>
            </w:r>
            <w:r>
              <w:rPr>
                <w:rFonts w:ascii="Arial"/>
                <w:sz w:val="16"/>
              </w:rPr>
              <w:t xml:space="preserve"> value in the first numeric field if you select no qualifier or '&gt;', '&gt;=' or 'ca.'. Use the second numeric field if the qualifier is '&lt;' or '&lt;='. For a range use both numeric fields together with the appropriate qualifier(s) if </w:t>
            </w:r>
            <w:r>
              <w:rPr>
                <w:rFonts w:ascii="Arial"/>
                <w:sz w:val="16"/>
              </w:rPr>
              <w:lastRenderedPageBreak/>
              <w:t>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Remarks on re</w:t>
            </w:r>
            <w:r>
              <w:rPr>
                <w:rFonts w:ascii="Arial"/>
                <w:sz w:val="16"/>
              </w:rPr>
              <w:t>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Picklist values:</w:t>
            </w:r>
            <w:r>
              <w:rPr>
                <w:rFonts w:ascii="Arial"/>
                <w:sz w:val="16"/>
              </w:rPr>
              <w:br/>
              <w:t>- preliminary test</w:t>
            </w:r>
            <w:r>
              <w:rPr>
                <w:rFonts w:ascii="Arial"/>
                <w:sz w:val="16"/>
              </w:rPr>
              <w:br/>
              <w:t>- no self-ignition observed up to the melting point</w:t>
            </w:r>
            <w:r>
              <w:rPr>
                <w:rFonts w:ascii="Arial"/>
                <w:sz w:val="16"/>
              </w:rPr>
              <w:br/>
              <w:t>- no self ignition observed under the test conditions</w:t>
            </w:r>
            <w:r>
              <w:rPr>
                <w:rFonts w:ascii="Arial"/>
                <w:sz w:val="16"/>
              </w:rPr>
              <w:br/>
              <w:t>- not determinable</w:t>
            </w:r>
            <w:r>
              <w:rPr>
                <w:rFonts w:ascii="Arial"/>
                <w:sz w:val="16"/>
              </w:rPr>
              <w:br/>
              <w:t>- not determinable because</w:t>
            </w:r>
            <w:r>
              <w:rPr>
                <w:rFonts w:ascii="Arial"/>
                <w:sz w:val="16"/>
              </w:rPr>
              <w:t xml:space="preserv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w:t>
            </w:r>
            <w:r>
              <w:rPr>
                <w:rFonts w:ascii="Arial"/>
                <w:sz w:val="16"/>
              </w:rPr>
              <w:t xml:space="preserve">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Relative self-ignition temperature (solids)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Self-ignition temperature of dust accumulation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Enter the self-ignition temperature for a dust, i.e. the lowest temperature, at which under specified test conditions a dust accumulation under the influence of high tempera</w:t>
            </w:r>
            <w:r>
              <w:rPr>
                <w:rFonts w:ascii="Arial"/>
                <w:sz w:val="16"/>
              </w:rPr>
              <w:t>ture in the surroundings will just be ignited by self heating. The self-ignition temperature of a dust accumulation depends on the volume and the shape of the dust sample. Therefore the field 'Volume / surface ratio (m)' should be completed as well.If nece</w:t>
            </w:r>
            <w:r>
              <w:rPr>
                <w:rFonts w:ascii="Arial"/>
                <w:sz w:val="16"/>
              </w:rPr>
              <w:t>ssary, copy this block of fields for each condition.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4D2B9A">
            <w:r>
              <w:rPr>
                <w:rFonts w:ascii="Arial"/>
                <w:b/>
                <w:sz w:val="16"/>
              </w:rPr>
              <w:t>Guidance for field condition:</w:t>
            </w:r>
            <w:r>
              <w:rPr>
                <w:rFonts w:ascii="Arial"/>
                <w:b/>
                <w:sz w:val="16"/>
              </w:rPr>
              <w:br/>
            </w:r>
            <w:r>
              <w:rPr>
                <w:rFonts w:ascii="Arial"/>
                <w:sz w:val="16"/>
              </w:rPr>
              <w:t>Condition: Block of fields active only if 'Endpoint' = 'Self-ignition of dusts'</w:t>
            </w:r>
          </w:p>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 xml:space="preserve">Set this flag for identifying the key information </w:t>
            </w:r>
            <w:r>
              <w:rPr>
                <w:rFonts w:ascii="Arial"/>
                <w:sz w:val="16"/>
              </w:rPr>
              <w:t xml:space="preserve">which is of potential relevance for hazard/risk </w:t>
            </w:r>
            <w:r>
              <w:rPr>
                <w:rFonts w:ascii="Arial"/>
                <w:sz w:val="16"/>
              </w:rPr>
              <w:lastRenderedPageBreak/>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Self-ignition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Numeric range (decimal</w:t>
            </w:r>
            <w:r>
              <w:rPr>
                <w:rFonts w:ascii="Arial"/>
                <w:sz w:val="16"/>
              </w:rPr>
              <w:t xml:space="preserve">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Enter a single numeric value in the first numeric field if you select no qualifier or '&gt;', '&gt;=' or 'ca.'. Use</w:t>
            </w:r>
            <w:r>
              <w:rPr>
                <w:rFonts w:ascii="Arial"/>
                <w:sz w:val="16"/>
              </w:rPr>
              <w:t xml:space="preserv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Volume / surface ratio (m)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 xml:space="preserve">Enter a numeric value to specify the </w:t>
            </w:r>
            <w:r>
              <w:rPr>
                <w:rFonts w:ascii="Arial"/>
                <w:sz w:val="16"/>
              </w:rPr>
              <w:t>volume / surface ratio (unit: 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Picklist values:</w:t>
            </w:r>
            <w:r>
              <w:rPr>
                <w:rFonts w:ascii="Arial"/>
                <w:sz w:val="16"/>
              </w:rPr>
              <w:br/>
              <w:t>- preliminary test</w:t>
            </w:r>
            <w:r>
              <w:rPr>
                <w:rFonts w:ascii="Arial"/>
                <w:sz w:val="16"/>
              </w:rPr>
              <w:br/>
              <w:t xml:space="preserve">- not determined but test results according to UN Test N.4 are provided in section Flammability - </w:t>
            </w:r>
            <w:r>
              <w:rPr>
                <w:rFonts w:ascii="Arial"/>
                <w:sz w:val="16"/>
              </w:rPr>
              <w:t>self-heating substances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This field can be used for:</w:t>
            </w:r>
            <w:r>
              <w:rPr>
                <w:rFonts w:ascii="Arial"/>
                <w:sz w:val="16"/>
              </w:rPr>
              <w:br/>
            </w:r>
            <w:r>
              <w:rPr>
                <w:rFonts w:ascii="Arial"/>
                <w:sz w:val="16"/>
              </w:rPr>
              <w:br/>
              <w:t>- giving a qualitative description of results in addition to or if no numeric value(s) were deri</w:t>
            </w:r>
            <w:r>
              <w:rPr>
                <w:rFonts w:ascii="Arial"/>
                <w:sz w:val="16"/>
              </w:rPr>
              <w:t>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Self-ignition temperature</w:t>
            </w:r>
            <w:r>
              <w:rPr>
                <w:rFonts w:ascii="Arial"/>
                <w:b/>
                <w:sz w:val="16"/>
              </w:rPr>
              <w:t xml:space="preserve"> of dust </w:t>
            </w:r>
            <w:r>
              <w:rPr>
                <w:rFonts w:ascii="Arial"/>
                <w:b/>
                <w:sz w:val="16"/>
              </w:rPr>
              <w:lastRenderedPageBreak/>
              <w:t>accumulation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8201B" w:rsidRDefault="004D2B9A">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8201B" w:rsidRDefault="004D2B9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08201B"/>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In this field, you can enter any other remarks on results. You can also open a rich text editor </w:t>
            </w:r>
            <w:r>
              <w:rPr>
                <w:rFonts w:ascii="Arial"/>
                <w:sz w:val="16"/>
              </w:rPr>
              <w:t>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01B" w:rsidRDefault="004D2B9A">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01B" w:rsidRDefault="004D2B9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In this field, you can enter any overall remarks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8201B" w:rsidRDefault="004D2B9A">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b/>
                <w:sz w:val="16"/>
              </w:rPr>
              <w:t>Block of fields (repe</w:t>
            </w:r>
            <w:r>
              <w:rPr>
                <w:rFonts w:ascii="Arial"/>
                <w:b/>
                <w:sz w:val="16"/>
              </w:rPr>
              <w:t xml:space="preserv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 xml:space="preserve">Attach any background document that cannot be inserted in any rich text editor field, particularly image files (e.g. an image of a structural </w:t>
            </w:r>
            <w:r>
              <w:rPr>
                <w:rFonts w:ascii="Arial"/>
                <w:sz w:val="16"/>
              </w:rPr>
              <w:lastRenderedPageBreak/>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 xml:space="preserve">An electronic copy of the </w:t>
            </w:r>
            <w:r>
              <w:rPr>
                <w:rFonts w:ascii="Arial"/>
                <w:sz w:val="16"/>
              </w:rPr>
              <w:t>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sz w:val="16"/>
              </w:rPr>
              <w:t>An electronic copy of a public (non-confidential) version of the full study report</w:t>
            </w:r>
            <w:r>
              <w:rPr>
                <w:rFonts w:ascii="Arial"/>
                <w:sz w:val="16"/>
              </w:rPr>
              <w:t xml:space="preserve">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8201B" w:rsidRDefault="004D2B9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8201B" w:rsidRDefault="000820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8201B" w:rsidRDefault="004D2B9A">
            <w:r>
              <w:rPr>
                <w:rFonts w:ascii="Arial"/>
                <w:sz w:val="16"/>
              </w:rPr>
              <w:t xml:space="preserve">As appropriate, include remarks, e.g. a short description of the content of the attached document if the file name is </w:t>
            </w:r>
            <w:r>
              <w:rPr>
                <w:rFonts w:ascii="Arial"/>
                <w:sz w:val="16"/>
              </w:rPr>
              <w:t>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8201B" w:rsidRDefault="000820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8201B" w:rsidRDefault="004D2B9A">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8201B" w:rsidRDefault="004D2B9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8201B" w:rsidRDefault="000820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Upload file by clicking the upload icon. As appropriate, enter any additional information, e.g. language. The file name is</w:t>
            </w:r>
            <w:r>
              <w:rPr>
                <w:rFonts w:ascii="Arial"/>
                <w:sz w:val="16"/>
              </w:rPr>
              <w:t xml:space="preserve">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8201B" w:rsidRDefault="004D2B9A">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8201B" w:rsidRDefault="004D2B9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8201B" w:rsidRDefault="000820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r w:rsidR="000820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8201B" w:rsidRDefault="000820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8201B" w:rsidRDefault="004D2B9A">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8201B" w:rsidRDefault="0008201B"/>
        </w:tc>
        <w:tc>
          <w:tcPr>
            <w:tcW w:w="3709" w:type="dxa"/>
            <w:tcBorders>
              <w:top w:val="outset" w:sz="6" w:space="0" w:color="auto"/>
              <w:left w:val="outset" w:sz="6" w:space="0" w:color="auto"/>
              <w:bottom w:val="outset" w:sz="6" w:space="0" w:color="FFFFFF"/>
              <w:right w:val="outset" w:sz="6" w:space="0" w:color="auto"/>
            </w:tcBorders>
          </w:tcPr>
          <w:p w:rsidR="0008201B" w:rsidRDefault="004D2B9A">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8201B" w:rsidRDefault="0008201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D2B9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D2B9A">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#12: Auto flammability</w:t>
    </w:r>
    <w:r w:rsidR="004D2B9A">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7D19E3"/>
    <w:multiLevelType w:val="multilevel"/>
    <w:tmpl w:val="B27EFC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201B"/>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2B9A"/>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CF7655"/>
  <w15:docId w15:val="{71FE5519-0B85-4DF2-8116-3984DDDB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9904-03F7-46F2-B7F0-DD77F7B9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9553</Words>
  <Characters>53498</Characters>
  <Application>Microsoft Office Word</Application>
  <DocSecurity>0</DocSecurity>
  <Lines>2547</Lines>
  <Paragraphs>399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2021-11-04T17:14:00Z</dcterms:created>
  <dcterms:modified xsi:type="dcterms:W3CDTF">2021-11-04T17:14:00Z</dcterms:modified>
</cp:coreProperties>
</file>