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Stability: thermal, sunlight, metals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7E13AC">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bookmarkStart w:id="0" w:name="_GoBack"/>
      <w:bookmarkEnd w:id="0"/>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262DF" w:rsidRDefault="007E13AC">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262DF" w:rsidRDefault="007E13A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C262DF"/>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C262DF"/>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thermal stability</w:t>
            </w:r>
            <w:r>
              <w:rPr>
                <w:rFonts w:ascii="Arial"/>
                <w:sz w:val="16"/>
              </w:rPr>
              <w:br/>
              <w:t>- stability to sunlight</w:t>
            </w:r>
            <w:r>
              <w:rPr>
                <w:rFonts w:ascii="Arial"/>
                <w:sz w:val="16"/>
              </w:rPr>
              <w:br/>
              <w:t>- stability to metals</w:t>
            </w:r>
            <w:r>
              <w:rPr>
                <w:rFonts w:ascii="Arial"/>
                <w:sz w:val="16"/>
              </w:rPr>
              <w:br/>
              <w:t>- stability: thermal, sunlight, metals,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From the picklist select the relevant endpoint addressed by this study summary. In some cases there is</w:t>
            </w:r>
            <w:r>
              <w:rPr>
                <w:rFonts w:ascii="Arial"/>
                <w:sz w:val="16"/>
              </w:rPr>
              <w:t xml:space="preserve">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w:t>
            </w:r>
            <w:r>
              <w:rPr>
                <w:rFonts w:ascii="Arial"/>
                <w:sz w:val="16"/>
              </w:rPr>
              <w:t>int description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w:t>
            </w:r>
            <w:r>
              <w:rPr>
                <w:rFonts w:ascii="Arial"/>
                <w:sz w:val="16"/>
              </w:rPr>
              <w:t>Q)SAR studies the generic endpoint title should be selected, normally with no need to fill in the adjacent text field, as '(Q)SAR' needs to be indicated in field 'Type of information' and the model should be described in field 'Justification of non-standar</w:t>
            </w:r>
            <w:r>
              <w:rPr>
                <w:rFonts w:ascii="Arial"/>
                <w:sz w:val="16"/>
              </w:rPr>
              <w:t>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w:t>
            </w:r>
            <w:r>
              <w:rPr>
                <w:rFonts w:ascii="Arial"/>
                <w:sz w:val="16"/>
              </w:rPr>
              <w:t xml:space="preserve">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w:t>
            </w:r>
            <w:r>
              <w:rPr>
                <w:rFonts w:ascii="Arial"/>
                <w:sz w:val="16"/>
              </w:rPr>
              <w:t>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lastRenderedPageBreak/>
              <w:t>Guidance for data migration:</w:t>
            </w:r>
            <w:r>
              <w:rPr>
                <w:rFonts w:ascii="Arial"/>
                <w:b/>
                <w:sz w:val="16"/>
              </w:rPr>
              <w:br/>
            </w:r>
            <w:r>
              <w:rPr>
                <w:rFonts w:ascii="Arial"/>
                <w:sz w:val="16"/>
              </w:rPr>
              <w:t xml:space="preserve">Default selection of 'Stability: thermal, sunlight, metals, other' with default supplementary </w:t>
            </w:r>
            <w:r>
              <w:rPr>
                <w:rFonts w:ascii="Arial"/>
                <w:sz w:val="16"/>
              </w:rPr>
              <w:t>text 'Migrated from section '&lt;OHT title&gt;''.</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262DF" w:rsidRDefault="007E13AC">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262DF" w:rsidRDefault="007E13AC">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262DF" w:rsidRDefault="007E13AC">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7E13AC">
            <w:r>
              <w:rPr>
                <w:rFonts w:ascii="Arial"/>
                <w:b/>
                <w:sz w:val="16"/>
              </w:rPr>
              <w:t>Cross-reference:</w:t>
            </w:r>
            <w:r>
              <w:rPr>
                <w:rFonts w:ascii="Arial"/>
                <w:b/>
                <w:sz w:val="16"/>
              </w:rPr>
              <w:br/>
            </w:r>
            <w:r>
              <w:rPr>
                <w:rFonts w:ascii="Arial"/>
                <w:sz w:val="16"/>
              </w:rPr>
              <w:t>AllSummariesAndRecords</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262DF" w:rsidRDefault="007E13A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262DF" w:rsidRDefault="007E13AC">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262DF" w:rsidRDefault="007E13A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262DF" w:rsidRDefault="007E13AC">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262DF" w:rsidRDefault="007E13A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262DF" w:rsidRDefault="007E13AC">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Picklist values:</w:t>
            </w:r>
            <w:r>
              <w:rPr>
                <w:rFonts w:ascii="Arial"/>
                <w:sz w:val="16"/>
              </w:rPr>
              <w:br/>
              <w:t xml:space="preserve">- OECD Guideline 113 (Screening Test for Thermal Stability and </w:t>
            </w:r>
            <w:r>
              <w:rPr>
                <w:rFonts w:ascii="Arial"/>
                <w:sz w:val="16"/>
              </w:rPr>
              <w:t>Stability in Air)</w:t>
            </w:r>
            <w:r>
              <w:rPr>
                <w:rFonts w:ascii="Arial"/>
                <w:sz w:val="16"/>
              </w:rPr>
              <w:br/>
              <w:t xml:space="preserve">- EPA OPPTS 830.6313 (Stability to Sunlight, </w:t>
            </w:r>
            <w:r>
              <w:rPr>
                <w:rFonts w:ascii="Arial"/>
                <w:sz w:val="16"/>
              </w:rPr>
              <w:lastRenderedPageBreak/>
              <w:t>Normal and Elevated Temperature, Metals and Metal Ions)</w:t>
            </w:r>
            <w:r>
              <w:rPr>
                <w:rFonts w:ascii="Arial"/>
                <w:sz w:val="16"/>
              </w:rPr>
              <w:br/>
              <w:t>- ENV/JM/MONO(2016)54 Guidance document on storage stability of microbial pest control products (No 85)</w:t>
            </w:r>
            <w:r>
              <w:rPr>
                <w:rFonts w:ascii="Arial"/>
                <w:sz w:val="16"/>
              </w:rPr>
              <w:br/>
              <w:t>- CropLife International, 2009. T</w:t>
            </w:r>
            <w:r>
              <w:rPr>
                <w:rFonts w:ascii="Arial"/>
                <w:sz w:val="16"/>
              </w:rPr>
              <w:t>echnical Monograph No 17. Guidelines for Specifying the Shelf Life of Plant Protection Products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lastRenderedPageBreak/>
              <w:t>Select the applicable test guideline, e.g. 'OECD Guideline xxx'. If the test guideline used is not listed, choose 'other:' and specify the test guideli</w:t>
            </w:r>
            <w:r>
              <w:rPr>
                <w:rFonts w:ascii="Arial"/>
                <w:sz w:val="16"/>
              </w:rPr>
              <w:t xml:space="preserve">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w:t>
            </w:r>
            <w:r>
              <w:rPr>
                <w:rFonts w:ascii="Arial"/>
                <w:sz w:val="16"/>
              </w:rPr>
              <w:t xml:space="preserve">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w:t>
            </w:r>
            <w:r>
              <w:rPr>
                <w:rFonts w:ascii="Arial"/>
                <w:sz w:val="16"/>
              </w:rPr>
              <w:t>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7E13AC">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 xml:space="preserve">Text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w:t>
            </w:r>
            <w:r>
              <w:rPr>
                <w:rFonts w:ascii="Arial"/>
                <w:sz w:val="16"/>
              </w:rPr>
              <w:t>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w:t>
            </w:r>
            <w:r>
              <w:rPr>
                <w:rFonts w:ascii="Arial"/>
                <w:sz w:val="16"/>
              </w:rPr>
              <w:t>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7E13AC">
            <w:r>
              <w:rPr>
                <w:rFonts w:ascii="Arial"/>
                <w:b/>
                <w:sz w:val="16"/>
              </w:rPr>
              <w:t>Guidance for field condition:</w:t>
            </w:r>
            <w:r>
              <w:rPr>
                <w:rFonts w:ascii="Arial"/>
                <w:b/>
                <w:sz w:val="16"/>
              </w:rPr>
              <w:br/>
            </w:r>
            <w:r>
              <w:rPr>
                <w:rFonts w:ascii="Arial"/>
                <w:sz w:val="16"/>
              </w:rPr>
              <w:t xml:space="preserve">Condition: </w:t>
            </w:r>
            <w:r>
              <w:rPr>
                <w:rFonts w:ascii="Arial"/>
                <w:sz w:val="16"/>
              </w:rPr>
              <w:t>Field active only if 'Qualifier' is not 'no guideline ...'</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262DF" w:rsidRDefault="007E13AC">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lastRenderedPageBreak/>
              <w:t xml:space="preserve">In case a test guideline or other standardised method was used, indicate </w:t>
            </w:r>
            <w:r>
              <w:rPr>
                <w:rFonts w:ascii="Arial"/>
                <w:sz w:val="16"/>
              </w:rPr>
              <w:t xml:space="preserve">if there are any deviations. 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262DF" w:rsidRDefault="007E13AC">
            <w:r>
              <w:rPr>
                <w:rFonts w:ascii="Arial"/>
                <w:b/>
                <w:sz w:val="16"/>
              </w:rPr>
              <w:lastRenderedPageBreak/>
              <w:t>Gui</w:t>
            </w:r>
            <w:r>
              <w:rPr>
                <w:rFonts w:ascii="Arial"/>
                <w:b/>
                <w:sz w:val="16"/>
              </w:rPr>
              <w:t>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Freetext template:</w:t>
            </w:r>
            <w:r>
              <w:rPr>
                <w:rFonts w:ascii="Arial"/>
                <w:b/>
                <w:sz w:val="16"/>
              </w:rPr>
              <w:br/>
            </w:r>
            <w:r>
              <w:rPr>
                <w:rFonts w:ascii="Arial"/>
                <w:b/>
                <w:sz w:val="16"/>
              </w:rPr>
              <w:br/>
              <w:t xml:space="preserve">Option 1 </w:t>
            </w:r>
            <w:r>
              <w:rPr>
                <w:rFonts w:ascii="Arial"/>
                <w:b/>
                <w:sz w:val="16"/>
              </w:rPr>
              <w:t>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w:t>
            </w:r>
            <w:r>
              <w:rPr>
                <w:rFonts w:ascii="Arial"/>
                <w:sz w:val="16"/>
              </w:rPr>
              <w:t>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If no guideline was followed, include a </w:t>
            </w:r>
            <w:r>
              <w:rPr>
                <w:rFonts w:ascii="Arial"/>
                <w:sz w:val="16"/>
              </w:rPr>
              <w:t>description of the principles of the test protocol or estimated method used in the study. As appropriate use either of the pre-defined freetext template options for 'Method of non-guideline study' or '(Q)SAR'. Delete / add elements and edit text set in squ</w:t>
            </w:r>
            <w:r>
              <w:rPr>
                <w:rFonts w:ascii="Arial"/>
                <w:sz w:val="16"/>
              </w:rPr>
              <w:t>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w:t>
            </w:r>
            <w:r>
              <w:rPr>
                <w:rFonts w:ascii="Arial"/>
                <w:sz w:val="16"/>
              </w:rPr>
              <w:t>ed, indicate the QSAR model(s) or platform including version and the software tool(s) used. Detailed justification of the model and prediction should be provided in field(s) 'Justification for type of information', 'Attached justification' and/or 'Cross-re</w:t>
            </w:r>
            <w:r>
              <w:rPr>
                <w:rFonts w:ascii="Arial"/>
                <w:sz w:val="16"/>
              </w:rPr>
              <w:t>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w:t>
            </w:r>
            <w:r>
              <w:rPr>
                <w:rFonts w:ascii="Arial"/>
                <w:sz w:val="16"/>
              </w:rPr>
              <w:t xml:space="preserve">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w:t>
            </w:r>
            <w:r>
              <w:rPr>
                <w:rFonts w:ascii="Arial"/>
                <w:b/>
                <w:sz w:val="16"/>
              </w:rPr>
              <w:t xml:space="preserve">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Link to entity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w:t>
            </w:r>
            <w:r>
              <w:rPr>
                <w:rFonts w:ascii="Arial"/>
                <w:sz w:val="16"/>
              </w:rPr>
              <w:t>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must be provided may change. As a minimum, the chemical name, identifier and/or </w:t>
            </w:r>
            <w:r>
              <w:rPr>
                <w:rFonts w:ascii="Arial"/>
                <w:sz w:val="16"/>
              </w:rPr>
              <w:t>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t>Cross-reference:</w:t>
            </w:r>
            <w:r>
              <w:rPr>
                <w:rFonts w:ascii="Arial"/>
                <w:b/>
                <w:sz w:val="16"/>
              </w:rPr>
              <w:br/>
            </w:r>
            <w:r>
              <w:rPr>
                <w:rFonts w:ascii="Arial"/>
                <w:sz w:val="16"/>
              </w:rPr>
              <w:t>TEST_MATERIAL_INFORMATION</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Select additional Test material information record if relevant. For example, in l</w:t>
            </w:r>
            <w:r>
              <w:rPr>
                <w:rFonts w:ascii="Arial"/>
                <w:sz w:val="16"/>
              </w:rPr>
              <w:t>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262DF" w:rsidRDefault="007E13AC">
            <w:r>
              <w:rPr>
                <w:rFonts w:ascii="Arial"/>
                <w:b/>
                <w:sz w:val="16"/>
              </w:rPr>
              <w:t>Cross-reference:</w:t>
            </w:r>
            <w:r>
              <w:rPr>
                <w:rFonts w:ascii="Arial"/>
                <w:b/>
                <w:sz w:val="16"/>
              </w:rPr>
              <w:br/>
            </w:r>
            <w:r>
              <w:rPr>
                <w:rFonts w:ascii="Arial"/>
                <w:sz w:val="16"/>
              </w:rPr>
              <w:t>TEST_MATERIAL_INFORMATION</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w:t>
            </w:r>
            <w:r>
              <w:rPr>
                <w:rFonts w:ascii="Arial"/>
                <w:sz w:val="16"/>
              </w:rPr>
              <w:t>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w:t>
            </w:r>
            <w:r>
              <w:rPr>
                <w:rFonts w:ascii="Arial"/>
                <w:sz w:val="16"/>
              </w:rPr>
              <w:t>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w:t>
            </w:r>
            <w:r>
              <w:rPr>
                <w:rFonts w:ascii="Arial"/>
                <w:sz w:val="16"/>
              </w:rPr>
              <w:t>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that of starting </w:t>
            </w:r>
            <w:r>
              <w:rPr>
                <w:rFonts w:ascii="Arial"/>
                <w:sz w:val="16"/>
              </w:rPr>
              <w:t>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w:t>
            </w:r>
            <w:r>
              <w:rPr>
                <w:rFonts w:ascii="Arial"/>
                <w:sz w:val="16"/>
              </w:rPr>
              <w:t>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w:t>
            </w:r>
            <w:r>
              <w:rPr>
                <w:rFonts w:ascii="Arial"/>
                <w:sz w:val="16"/>
              </w:rPr>
              <w:t>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w:t>
            </w:r>
            <w:r>
              <w:rPr>
                <w:rFonts w:ascii="Arial"/>
                <w:sz w:val="16"/>
              </w:rPr>
              <w:t>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lastRenderedPageBreak/>
              <w:t>Use this field for reporting specific details on the test material as used for the study if they differ from the starting material specified under 'Test</w:t>
            </w:r>
            <w:r>
              <w:rPr>
                <w:rFonts w:ascii="Arial"/>
                <w:sz w:val="16"/>
              </w:rPr>
              <w:t xml:space="preserve">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w:t>
            </w:r>
            <w:r>
              <w:rPr>
                <w:rFonts w:ascii="Arial"/>
                <w:sz w:val="16"/>
              </w:rPr>
              <w:t xml:space="preserve"> summary or </w:t>
            </w:r>
            <w:r>
              <w:rPr>
                <w:rFonts w:ascii="Arial"/>
                <w:sz w:val="16"/>
              </w:rPr>
              <w:lastRenderedPageBreak/>
              <w:t>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w:t>
            </w:r>
            <w:r>
              <w:rPr>
                <w:rFonts w:ascii="Arial"/>
                <w:sz w:val="16"/>
              </w:rPr>
              <w:t>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w:t>
            </w:r>
            <w:r>
              <w:rPr>
                <w:rFonts w:ascii="Arial"/>
                <w:sz w:val="16"/>
              </w:rPr>
              <w:t>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w:t>
            </w:r>
            <w:r>
              <w:rPr>
                <w:rFonts w:ascii="Arial"/>
                <w:sz w:val="16"/>
              </w:rPr>
              <w:t>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w:t>
            </w:r>
            <w:r>
              <w:rPr>
                <w:rFonts w:ascii="Arial"/>
                <w:sz w:val="16"/>
              </w:rPr>
              <w:t xml:space="preserve">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w:t>
            </w:r>
            <w:r>
              <w:rPr>
                <w:rFonts w:ascii="Arial"/>
                <w:sz w:val="16"/>
              </w:rPr>
              <w:t xml:space="preserv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w:t>
            </w:r>
            <w:r>
              <w:rPr>
                <w:rFonts w:ascii="Arial"/>
                <w:sz w:val="16"/>
              </w:rPr>
              <w:t>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w:t>
            </w:r>
            <w:r>
              <w:rPr>
                <w:rFonts w:ascii="Arial"/>
                <w:sz w:val="16"/>
              </w:rPr>
              <w: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Freetext template:</w:t>
            </w:r>
            <w:r>
              <w:rPr>
                <w:rFonts w:ascii="Arial"/>
                <w:sz w:val="16"/>
              </w:rPr>
              <w:br/>
              <w:t xml:space="preserve">SOURCE OF </w:t>
            </w:r>
            <w:r>
              <w:rPr>
                <w:rFonts w:ascii="Arial"/>
                <w:sz w:val="16"/>
              </w:rPr>
              <w:t>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w:t>
            </w:r>
            <w:r>
              <w:rPr>
                <w:rFonts w:ascii="Arial"/>
                <w:sz w:val="16"/>
              </w:rPr>
              <w:t>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w:t>
            </w:r>
            <w:r>
              <w:rPr>
                <w:rFonts w:ascii="Arial"/>
                <w:sz w:val="16"/>
              </w:rPr>
              <w: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w:t>
            </w:r>
            <w:r>
              <w:rPr>
                <w:rFonts w:ascii="Arial"/>
                <w:sz w:val="16"/>
              </w:rPr>
              <w:t>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w:t>
            </w:r>
            <w:r>
              <w:rPr>
                <w:rFonts w:ascii="Arial"/>
                <w:sz w:val="16"/>
              </w:rPr>
              <w:t>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w:t>
            </w:r>
            <w:r>
              <w:rPr>
                <w:rFonts w:ascii="Arial"/>
                <w:sz w:val="16"/>
              </w:rPr>
              <w:t>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w:t>
            </w:r>
            <w:r>
              <w:rPr>
                <w:rFonts w:ascii="Arial"/>
                <w:sz w:val="16"/>
              </w:rPr>
              <w:t>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w:t>
            </w:r>
            <w:r>
              <w:rPr>
                <w:rFonts w:ascii="Arial"/>
                <w:sz w:val="16"/>
              </w:rPr>
              <w:t>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w:t>
            </w:r>
            <w:r>
              <w:rPr>
                <w:rFonts w:ascii="Arial"/>
                <w:sz w:val="16"/>
              </w:rPr>
              <w:t>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lastRenderedPageBreak/>
              <w:t>Use this field for reporting specific details on the test material as used for the study if they differ from the starting material specified under 'Test material information'. This can include information o</w:t>
            </w:r>
            <w:r>
              <w:rPr>
                <w:rFonts w:ascii="Arial"/>
                <w:sz w:val="16"/>
              </w:rPr>
              <w:t>n the pre-defined items, but not all or additional ones may be relevant.</w:t>
            </w:r>
            <w:r>
              <w:rPr>
                <w:rFonts w:ascii="Arial"/>
                <w:sz w:val="16"/>
              </w:rPr>
              <w:br/>
            </w:r>
            <w:r>
              <w:rPr>
                <w:rFonts w:ascii="Arial"/>
                <w:sz w:val="16"/>
              </w:rPr>
              <w:br/>
              <w:t xml:space="preserve">Use freetext template and delete/add elements </w:t>
            </w:r>
            <w:r>
              <w:rPr>
                <w:rFonts w:ascii="Arial"/>
                <w:sz w:val="16"/>
              </w:rPr>
              <w:lastRenderedPageBreak/>
              <w:t>as appropriate. Enter any details that could be relevant for evaluating this study summary or that are requested by the respective regul</w:t>
            </w:r>
            <w:r>
              <w:rPr>
                <w:rFonts w:ascii="Arial"/>
                <w:sz w:val="16"/>
              </w:rPr>
              <w:t>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w:t>
            </w:r>
            <w:r>
              <w:rPr>
                <w:rFonts w:ascii="Arial"/>
                <w:sz w:val="16"/>
              </w:rPr>
              <w:t>.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w:t>
            </w:r>
            <w:r>
              <w:rPr>
                <w:rFonts w:ascii="Arial"/>
                <w:sz w:val="16"/>
              </w:rPr>
              <w:t xml:space="preserve">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xml:space="preserve">- Reactivity of the test substance with the solvent/vehicle or the cell </w:t>
            </w:r>
            <w:r>
              <w:rPr>
                <w:rFonts w:ascii="Arial"/>
                <w:sz w:val="16"/>
              </w:rPr>
              <w:t>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w:t>
            </w:r>
            <w:r>
              <w:rPr>
                <w:rFonts w:ascii="Arial"/>
                <w:sz w:val="16"/>
              </w:rPr>
              <w:t>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w:t>
            </w:r>
            <w:r>
              <w:rPr>
                <w:rFonts w:ascii="Arial"/>
                <w:sz w:val="16"/>
              </w:rPr>
              <w:t>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w:t>
            </w:r>
            <w:r>
              <w:rPr>
                <w:rFonts w:ascii="Arial"/>
                <w:sz w:val="16"/>
              </w:rPr>
              <w:t>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w:t>
            </w:r>
            <w:r>
              <w:rPr>
                <w:rFonts w:ascii="Arial"/>
                <w:sz w:val="16"/>
              </w:rPr>
              <w:t>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Enter any details that could be relevant for evaluating this study summary, particularly if no guideline was </w:t>
            </w:r>
            <w:r>
              <w:rPr>
                <w:rFonts w:ascii="Arial"/>
                <w:sz w:val="16"/>
              </w:rPr>
              <w:t>used.</w:t>
            </w:r>
            <w:r>
              <w:rPr>
                <w:rFonts w:ascii="Arial"/>
                <w:sz w:val="16"/>
              </w:rPr>
              <w:br/>
            </w:r>
            <w:r>
              <w:rPr>
                <w:rFonts w:ascii="Arial"/>
                <w:sz w:val="16"/>
              </w:rPr>
              <w:lastRenderedPageBreak/>
              <w:br/>
              <w:t>For example, the packaging materials used in the storage stability testing.</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C262DF"/>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In this field, you can enter any information on </w:t>
            </w:r>
            <w:r>
              <w:rPr>
                <w:rFonts w:ascii="Arial"/>
                <w:sz w:val="16"/>
              </w:rPr>
              <w:t>materials and methods, for which no distinct field is available, or transfer free text from other databases. You can also open a rich text editor and create formatted text and tables or insert and edit any excerpt from a word processing or spreadsheet docu</w:t>
            </w:r>
            <w:r>
              <w:rPr>
                <w:rFonts w:ascii="Arial"/>
                <w:sz w:val="16"/>
              </w:rPr>
              <w:t>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w:t>
            </w:r>
            <w:r>
              <w:rPr>
                <w:rFonts w:ascii="Arial"/>
                <w:sz w:val="16"/>
              </w:rPr>
              <w:t>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262DF" w:rsidRDefault="007E13AC">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262DF" w:rsidRDefault="007E13A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For thermal stability study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Test substance thermally stable</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whether the test substance was stable under the test conditions or not. Describe any details on results in field 'Any other information on results incl. tables'.</w:t>
            </w:r>
            <w:r>
              <w:rPr>
                <w:rFonts w:ascii="Arial"/>
                <w:sz w:val="16"/>
              </w:rPr>
              <w:br/>
            </w:r>
            <w:r>
              <w:rPr>
                <w:rFonts w:ascii="Arial"/>
                <w:sz w:val="16"/>
              </w:rPr>
              <w:br/>
              <w:t>The melting point should be recorded in the corresponding data entry screen.</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262DF" w:rsidRDefault="007E13AC">
            <w:r>
              <w:rPr>
                <w:rFonts w:ascii="Arial"/>
                <w:b/>
                <w:sz w:val="16"/>
              </w:rPr>
              <w:t xml:space="preserve">Operating </w:t>
            </w:r>
            <w:r>
              <w:rPr>
                <w:rFonts w:ascii="Arial"/>
                <w:b/>
                <w:sz w:val="16"/>
              </w:rPr>
              <w:lastRenderedPageBreak/>
              <w:t>temperature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 xml:space="preserve">Provide the operating temperature or range at which the thermal stability was determined. For </w:t>
            </w:r>
            <w:r>
              <w:rPr>
                <w:rFonts w:ascii="Arial"/>
                <w:sz w:val="16"/>
              </w:rPr>
              <w:lastRenderedPageBreak/>
              <w:t>comparison reason, the data should be recorded in degree C. If reported in other units, it is recommende</w:t>
            </w:r>
            <w:r>
              <w:rPr>
                <w:rFonts w:ascii="Arial"/>
                <w:sz w:val="16"/>
              </w:rPr>
              <w:t xml:space="preserve">d to convert to </w:t>
            </w:r>
            <w:r>
              <w:rPr>
                <w:rFonts w:ascii="Arial"/>
                <w:sz w:val="16"/>
              </w:rPr>
              <w:t>°</w:t>
            </w:r>
            <w:r>
              <w:rPr>
                <w:rFonts w:ascii="Arial"/>
                <w:sz w:val="16"/>
              </w:rPr>
              <w:t>C. By copying this block of fields both the original and converted value(s) can be entered.</w:t>
            </w:r>
            <w:r>
              <w:rPr>
                <w:rFonts w:ascii="Arial"/>
                <w:sz w:val="16"/>
              </w:rPr>
              <w:br/>
            </w:r>
            <w:r>
              <w:rPr>
                <w:rFonts w:ascii="Arial"/>
                <w:sz w:val="16"/>
              </w:rPr>
              <w:br/>
              <w:t>If analytical method is used to determine the concentration, provide method details including method validation data in fields 'Any other informat</w:t>
            </w:r>
            <w:r>
              <w:rPr>
                <w:rFonts w:ascii="Arial"/>
                <w:sz w:val="16"/>
              </w:rPr>
              <w:t>ion on materials and methods incl. tables' and attach all relevant chromatograms in field 'Attached background materials'.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Operating 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 xml:space="preserve">Lower numeric </w:t>
            </w:r>
            <w:r>
              <w:rPr>
                <w:rFonts w:ascii="Arial"/>
                <w:b/>
                <w:sz w:val="16"/>
              </w:rPr>
              <w:t>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 xml:space="preserve">Enter a single numeric value in the first numeric field if you select no qualifier or '&gt;', '&gt;=' or 'ca.'. Use the second numeric field if the qualifier is </w:t>
            </w:r>
            <w:r>
              <w:rPr>
                <w:rFonts w:ascii="Arial"/>
                <w:sz w:val="16"/>
              </w:rPr>
              <w:t>'&lt;'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262DF" w:rsidRDefault="007E13AC">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Picklist values:</w:t>
            </w:r>
            <w:r>
              <w:rPr>
                <w:rFonts w:ascii="Arial"/>
                <w:sz w:val="16"/>
              </w:rPr>
              <w:br/>
              <w:t>- not determinable</w:t>
            </w:r>
            <w:r>
              <w:rPr>
                <w:rFonts w:ascii="Arial"/>
                <w:sz w:val="16"/>
              </w:rPr>
              <w:br/>
              <w:t xml:space="preserve">- not determinable because </w:t>
            </w:r>
            <w:r>
              <w:rPr>
                <w:rFonts w:ascii="Arial"/>
                <w:sz w:val="16"/>
              </w:rPr>
              <w:t>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w:t>
            </w:r>
            <w:r>
              <w:rPr>
                <w:rFonts w:ascii="Arial"/>
                <w:sz w:val="16"/>
              </w:rPr>
              <w:lastRenderedPageBreak/>
              <w:t xml:space="preserve">value is provided, </w:t>
            </w:r>
            <w:r>
              <w:rPr>
                <w:rFonts w:ascii="Arial"/>
                <w:sz w:val="16"/>
              </w:rPr>
              <w:t>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b/>
                <w:sz w:val="16"/>
              </w:rPr>
              <w:t>Operating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Sublimation</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whether sublimation occurred.</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w:t>
            </w:r>
            <w:r>
              <w:rPr>
                <w:rFonts w:ascii="Arial"/>
                <w:sz w:val="16"/>
              </w:rPr>
              <w:t>ified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whether transformation products occurred. If yes, provide the identified transformation products in following block of fields. Any further details can be entered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262DF" w:rsidRDefault="007E13AC">
            <w:r>
              <w:rPr>
                <w:rFonts w:ascii="Arial"/>
                <w:b/>
                <w:sz w:val="16"/>
              </w:rPr>
              <w:t xml:space="preserve">Identity of </w:t>
            </w:r>
            <w:r>
              <w:rPr>
                <w:rFonts w:ascii="Arial"/>
                <w:b/>
                <w:sz w:val="16"/>
              </w:rPr>
              <w:t>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Indicate the identity of the transformation products using an appropriate identifier, e.g. CAS number, CAS name, IUPAC name. Copy this block of fields for each relevant substance.</w:t>
            </w:r>
            <w:r>
              <w:rPr>
                <w:rFonts w:ascii="Arial"/>
                <w:sz w:val="16"/>
              </w:rPr>
              <w:br/>
            </w:r>
            <w:r>
              <w:rPr>
                <w:rFonts w:ascii="Arial"/>
                <w:sz w:val="16"/>
              </w:rPr>
              <w:br/>
              <w:t>Any further det</w:t>
            </w:r>
            <w:r>
              <w:rPr>
                <w:rFonts w:ascii="Arial"/>
                <w:sz w:val="16"/>
              </w:rPr>
              <w: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r>
            <w:r>
              <w:rPr>
                <w:rFonts w:ascii="Arial"/>
                <w:sz w:val="16"/>
              </w:rPr>
              <w:lastRenderedPageBreak/>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lastRenderedPageBreak/>
              <w:t>For easier distinction select a consecutive number for each transformation product from drop-down list if more than one transformation product is entered. If the same substance is identified by more than one identifiers (e.g.</w:t>
            </w:r>
            <w:r>
              <w:rPr>
                <w:rFonts w:ascii="Arial"/>
                <w:sz w:val="16"/>
              </w:rPr>
              <w:t xml:space="preserve">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262DF" w:rsidRDefault="007E13AC">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 xml:space="preserve">Click the Link button to navigate to the Substances Inventory and select the relevant substance </w:t>
            </w:r>
            <w:r>
              <w:rPr>
                <w:rFonts w:ascii="Arial"/>
                <w:sz w:val="16"/>
              </w:rPr>
              <w:t>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262DF" w:rsidRDefault="007E13AC">
            <w:r>
              <w:rPr>
                <w:rFonts w:ascii="Arial"/>
                <w:b/>
                <w:sz w:val="16"/>
              </w:rPr>
              <w:t>Cross-reference:</w:t>
            </w:r>
            <w:r>
              <w:rPr>
                <w:rFonts w:ascii="Arial"/>
                <w:b/>
                <w:sz w:val="16"/>
              </w:rPr>
              <w:br/>
            </w:r>
            <w:r>
              <w:rPr>
                <w:rFonts w:ascii="Arial"/>
                <w:sz w:val="16"/>
              </w:rPr>
              <w:t>REFERENCE_SUBSTANCE</w:t>
            </w:r>
          </w:p>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For study on stability to sunlight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Test substance stable to sunlight</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Indicate whether the test substance was stable under the test conditions or not. Describe any details on results in field 'Any other information on r</w:t>
            </w:r>
            <w:r>
              <w:rPr>
                <w:rFonts w:ascii="Arial"/>
                <w:sz w:val="16"/>
              </w:rPr>
              <w:t>esults incl. tables'.</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For study on stability to metals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Test substance stable to metals / metal ions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7E13AC">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Indicate whether the test </w:t>
            </w:r>
            <w:r>
              <w:rPr>
                <w:rFonts w:ascii="Arial"/>
                <w:sz w:val="16"/>
              </w:rPr>
              <w:t>substance was sensitive to contact with metals or metal ions under the test conditions or not. Describe any details on results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262DF" w:rsidRDefault="007E13AC">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262DF" w:rsidRDefault="007E13AC">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C262DF"/>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In this field, you can enter any other remarks on results. You can also open a rich text editor and create formatted text and tables or insert and edit any excerpt from a word processing or spreadsheet document, provided i</w:t>
            </w:r>
            <w:r>
              <w:rPr>
                <w:rFonts w:ascii="Arial"/>
                <w:sz w:val="16"/>
              </w:rPr>
              <w:t>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262DF" w:rsidRDefault="007E13AC">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262DF" w:rsidRDefault="007E13A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262DF" w:rsidRDefault="007E13AC">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262DF" w:rsidRDefault="007E13AC">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262DF" w:rsidRDefault="00C262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262DF" w:rsidRDefault="007E13AC">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262DF" w:rsidRDefault="00C262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262DF" w:rsidRDefault="007E13AC">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262DF" w:rsidRDefault="007E13AC">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262DF" w:rsidRDefault="00C262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262DF" w:rsidRDefault="007E13AC">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262DF" w:rsidRDefault="007E13AC">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262DF" w:rsidRDefault="00C262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r w:rsidR="00C262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262DF" w:rsidRDefault="00C262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262DF" w:rsidRDefault="007E13AC">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262DF" w:rsidRDefault="00C262DF"/>
        </w:tc>
        <w:tc>
          <w:tcPr>
            <w:tcW w:w="3709" w:type="dxa"/>
            <w:tcBorders>
              <w:top w:val="outset" w:sz="6" w:space="0" w:color="auto"/>
              <w:left w:val="outset" w:sz="6" w:space="0" w:color="auto"/>
              <w:bottom w:val="outset" w:sz="6" w:space="0" w:color="FFFFFF"/>
              <w:right w:val="outset" w:sz="6" w:space="0" w:color="auto"/>
            </w:tcBorders>
          </w:tcPr>
          <w:p w:rsidR="00C262DF" w:rsidRDefault="007E13AC">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262DF" w:rsidRDefault="00C262D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E13AC">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E13AC">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#19: Stability: thermal, sunlight, metals</w:t>
    </w:r>
    <w:r w:rsidR="007E13AC">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172657"/>
    <w:multiLevelType w:val="multilevel"/>
    <w:tmpl w:val="0B4EEA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3AC"/>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262DF"/>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CB5772"/>
  <w15:docId w15:val="{26E8C3D8-0F20-423C-905D-16F5B8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9E1F7-9DDC-4A11-B872-42032BF5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8927</Words>
  <Characters>50176</Characters>
  <Application>Microsoft Office Word</Application>
  <DocSecurity>0</DocSecurity>
  <Lines>2389</Lines>
  <Paragraphs>402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2021-11-04T17:54:00Z</dcterms:created>
  <dcterms:modified xsi:type="dcterms:W3CDTF">2021-11-04T17:54:00Z</dcterms:modified>
</cp:coreProperties>
</file>